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-619124</wp:posOffset>
                </wp:positionH>
                <wp:positionV relativeFrom="paragraph">
                  <wp:posOffset>-571499</wp:posOffset>
                </wp:positionV>
                <wp:extent cx="7772400" cy="10058400"/>
                <wp:effectExtent b="0" l="0" r="0" t="0"/>
                <wp:wrapNone/>
                <wp:docPr id="1" name=""/>
                <a:graphic>
                  <a:graphicData uri="http://schemas.microsoft.com/office/word/2010/wordprocessingGroup">
                    <wpg:wgp>
                      <wpg:cNvGrpSpPr/>
                      <wpg:grpSpPr>
                        <a:xfrm>
                          <a:off x="1459800" y="0"/>
                          <a:ext cx="7772400" cy="10058400"/>
                          <a:chOff x="1459800" y="0"/>
                          <a:chExt cx="7772400" cy="7560000"/>
                        </a:xfrm>
                      </wpg:grpSpPr>
                      <wpg:grpSp>
                        <wpg:cNvGrpSpPr/>
                        <wpg:grpSpPr>
                          <a:xfrm>
                            <a:off x="1459800" y="0"/>
                            <a:ext cx="7772400" cy="7560000"/>
                            <a:chOff x="0" y="0"/>
                            <a:chExt cx="7772400" cy="10058400"/>
                          </a:xfrm>
                        </wpg:grpSpPr>
                        <wps:wsp>
                          <wps:cNvSpPr/>
                          <wps:cNvPr id="3" name="Shape 3"/>
                          <wps:spPr>
                            <a:xfrm>
                              <a:off x="0" y="0"/>
                              <a:ext cx="7772400" cy="10058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descr="Decorative" id="4" name="Shape 4"/>
                          <wps:spPr>
                            <a:xfrm>
                              <a:off x="0" y="0"/>
                              <a:ext cx="7772400" cy="10058400"/>
                            </a:xfrm>
                            <a:prstGeom prst="rect">
                              <a:avLst/>
                            </a:prstGeom>
                            <a:solidFill>
                              <a:schemeClr val="accent3">
                                <a:alpha val="2000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19075" y="219075"/>
                              <a:ext cx="7315200" cy="9601200"/>
                            </a:xfrm>
                            <a:prstGeom prst="roundRect">
                              <a:avLst>
                                <a:gd fmla="val 2012" name="adj"/>
                              </a:avLst>
                            </a:prstGeom>
                            <a:noFill/>
                            <a:ln cap="flat" cmpd="sng" w="28575">
                              <a:solidFill>
                                <a:schemeClr val="accen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-619124</wp:posOffset>
                </wp:positionH>
                <wp:positionV relativeFrom="paragraph">
                  <wp:posOffset>-571499</wp:posOffset>
                </wp:positionV>
                <wp:extent cx="7772400" cy="10058400"/>
                <wp:effectExtent b="0" l="0" r="0" t="0"/>
                <wp:wrapNone/>
                <wp:docPr id="1"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7772400" cy="10058400"/>
                        </a:xfrm>
                        <a:prstGeom prst="rect"/>
                        <a:ln/>
                      </pic:spPr>
                    </pic:pic>
                  </a:graphicData>
                </a:graphic>
              </wp:anchor>
            </w:drawing>
          </mc:Fallback>
        </mc:AlternateContent>
      </w:r>
    </w:p>
    <w:tbl>
      <w:tblPr>
        <w:tblStyle w:val="Table1"/>
        <w:tblW w:w="10080.0" w:type="dxa"/>
        <w:jc w:val="left"/>
        <w:tblLayout w:type="fixed"/>
        <w:tblLook w:val="0600"/>
      </w:tblPr>
      <w:tblGrid>
        <w:gridCol w:w="2520"/>
        <w:gridCol w:w="360"/>
        <w:gridCol w:w="360"/>
        <w:gridCol w:w="6840"/>
        <w:tblGridChange w:id="0">
          <w:tblGrid>
            <w:gridCol w:w="2520"/>
            <w:gridCol w:w="360"/>
            <w:gridCol w:w="360"/>
            <w:gridCol w:w="6840"/>
          </w:tblGrid>
        </w:tblGridChange>
      </w:tblGrid>
      <w:tr>
        <w:trPr>
          <w:cantSplit w:val="0"/>
          <w:trHeight w:val="1296" w:hRule="atLeast"/>
          <w:tblHeader w:val="0"/>
        </w:trPr>
        <w:tc>
          <w:tcPr>
            <w:gridSpan w:val="4"/>
          </w:tcPr>
          <w:p w:rsidR="00000000" w:rsidDel="00000000" w:rsidP="00000000" w:rsidRDefault="00000000" w:rsidRPr="00000000" w14:paraId="00000002">
            <w:pPr>
              <w:pStyle w:val="Title"/>
              <w:rPr>
                <w:rFonts w:ascii="ADLaM Display" w:cs="ADLaM Display" w:eastAsia="ADLaM Display" w:hAnsi="ADLaM Display"/>
              </w:rPr>
            </w:pPr>
            <w:r w:rsidDel="00000000" w:rsidR="00000000" w:rsidRPr="00000000">
              <w:rPr>
                <w:rFonts w:ascii="ADLaM Display" w:cs="ADLaM Display" w:eastAsia="ADLaM Display" w:hAnsi="ADLaM Display"/>
                <w:sz w:val="52"/>
                <w:szCs w:val="52"/>
                <w:rtl w:val="0"/>
              </w:rPr>
              <w:t xml:space="preserve">LAPORAN P2 KUSTA TW.1 TAHUN 2026</w:t>
            </w:r>
            <w:r w:rsidDel="00000000" w:rsidR="00000000" w:rsidRPr="00000000">
              <w:rPr>
                <w:rtl w:val="0"/>
              </w:rPr>
            </w:r>
          </w:p>
        </w:tc>
      </w:tr>
      <w:tr>
        <w:trPr>
          <w:cantSplit w:val="0"/>
          <w:tblHeader w:val="0"/>
        </w:trPr>
        <w:tc>
          <w:tcPr>
            <w:gridSpan w:val="4"/>
          </w:tcPr>
          <w:p w:rsidR="00000000" w:rsidDel="00000000" w:rsidP="00000000" w:rsidRDefault="00000000" w:rsidRPr="00000000" w14:paraId="00000006">
            <w:pPr>
              <w:pStyle w:val="Subtitle"/>
              <w:rPr/>
            </w:pPr>
            <w:r w:rsidDel="00000000" w:rsidR="00000000" w:rsidRPr="00000000">
              <w:rPr>
                <w:rtl w:val="0"/>
              </w:rPr>
              <w:t xml:space="preserve">DINAS KESEHATAN PROVINSI SUMATERA BARAT</w:t>
            </w:r>
          </w:p>
        </w:tc>
      </w:tr>
      <w:tr>
        <w:trPr>
          <w:cantSplit w:val="0"/>
          <w:trHeight w:val="378" w:hRule="atLeast"/>
          <w:tblHeader w:val="0"/>
        </w:trPr>
        <w:tc>
          <w:tcPr>
            <w:gridSpan w:val="4"/>
          </w:tcPr>
          <w:p w:rsidR="00000000" w:rsidDel="00000000" w:rsidP="00000000" w:rsidRDefault="00000000" w:rsidRPr="00000000" w14:paraId="0000000A">
            <w:pPr>
              <w:rPr/>
            </w:pPr>
            <w:r w:rsidDel="00000000" w:rsidR="00000000" w:rsidRPr="00000000">
              <w:rPr>
                <w:rtl w:val="0"/>
              </w:rPr>
            </w:r>
          </w:p>
        </w:tc>
      </w:tr>
      <w:tr>
        <w:trPr>
          <w:cantSplit w:val="0"/>
          <w:trHeight w:val="80" w:hRule="atLeast"/>
          <w:tblHeader w:val="0"/>
        </w:trPr>
        <w:tc>
          <w:tcPr>
            <w:vMerge w:val="restart"/>
          </w:tcPr>
          <w:p w:rsidR="00000000" w:rsidDel="00000000" w:rsidP="00000000" w:rsidRDefault="00000000" w:rsidRPr="00000000" w14:paraId="0000000E">
            <w:pPr>
              <w:pStyle w:val="Heading1"/>
              <w:rPr/>
            </w:pPr>
            <w:r w:rsidDel="00000000" w:rsidR="00000000" w:rsidRPr="00000000">
              <w:rPr>
                <w:rtl w:val="0"/>
              </w:rPr>
              <w:t xml:space="preserve">sumber data</w:t>
            </w:r>
          </w:p>
          <w:p w:rsidR="00000000" w:rsidDel="00000000" w:rsidP="00000000" w:rsidRDefault="00000000" w:rsidRPr="00000000" w14:paraId="0000000F">
            <w:pPr>
              <w:rPr/>
            </w:pPr>
            <w:r w:rsidDel="00000000" w:rsidR="00000000" w:rsidRPr="00000000">
              <w:rPr>
                <w:rtl w:val="0"/>
              </w:rPr>
              <w:t xml:space="preserve">SIPK dan SITASIA</w:t>
            </w:r>
          </w:p>
          <w:p w:rsidR="00000000" w:rsidDel="00000000" w:rsidP="00000000" w:rsidRDefault="00000000" w:rsidRPr="00000000" w14:paraId="00000010">
            <w:pPr>
              <w:rPr/>
            </w:pPr>
            <w:r w:rsidDel="00000000" w:rsidR="00000000" w:rsidRPr="00000000">
              <w:rPr>
                <w:rtl w:val="0"/>
              </w:rPr>
            </w:r>
          </w:p>
        </w:tc>
        <w:tc>
          <w:tcPr>
            <w:gridSpan w:val="2"/>
          </w:tcPr>
          <w:p w:rsidR="00000000" w:rsidDel="00000000" w:rsidP="00000000" w:rsidRDefault="00000000" w:rsidRPr="00000000" w14:paraId="00000011">
            <w:pPr>
              <w:ind w:left="-14" w:firstLine="0"/>
              <w:jc w:val="center"/>
              <w:rPr/>
            </w:pPr>
            <w:r w:rsidDel="00000000" w:rsidR="00000000" w:rsidRPr="00000000">
              <w:rPr/>
              <mc:AlternateContent>
                <mc:Choice Requires="wpg">
                  <w:drawing>
                    <wp:inline distB="0" distT="0" distL="0" distR="0">
                      <wp:extent cx="165735" cy="165735"/>
                      <wp:effectExtent b="0" l="0" r="0" t="0"/>
                      <wp:docPr descr="Decorative" id="2" name=""/>
                      <a:graphic>
                        <a:graphicData uri="http://schemas.microsoft.com/office/word/2010/wordprocessingShape">
                          <wps:wsp>
                            <wps:cNvSpPr/>
                            <wps:cNvPr id="6" name="Shape 6"/>
                            <wps:spPr>
                              <a:xfrm>
                                <a:off x="5277420" y="3711420"/>
                                <a:ext cx="137160" cy="137160"/>
                              </a:xfrm>
                              <a:prstGeom prst="ellipse">
                                <a:avLst/>
                              </a:prstGeom>
                              <a:solidFill>
                                <a:srgbClr val="FFFCFB"/>
                              </a:solidFill>
                              <a:ln cap="flat" cmpd="sng" w="28575">
                                <a:solidFill>
                                  <a:schemeClr val="accen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65735" cy="165735"/>
                      <wp:effectExtent b="0" l="0" r="0" t="0"/>
                      <wp:docPr descr="Decorative" id="2" name="image7.png"/>
                      <a:graphic>
                        <a:graphicData uri="http://schemas.openxmlformats.org/drawingml/2006/picture">
                          <pic:pic>
                            <pic:nvPicPr>
                              <pic:cNvPr descr="Decorative" id="0" name="image7.png"/>
                              <pic:cNvPicPr preferRelativeResize="0"/>
                            </pic:nvPicPr>
                            <pic:blipFill>
                              <a:blip r:embed="rId6"/>
                              <a:srcRect/>
                              <a:stretch>
                                <a:fillRect/>
                              </a:stretch>
                            </pic:blipFill>
                            <pic:spPr>
                              <a:xfrm>
                                <a:off x="0" y="0"/>
                                <a:ext cx="165735" cy="165735"/>
                              </a:xfrm>
                              <a:prstGeom prst="rect"/>
                              <a:ln/>
                            </pic:spPr>
                          </pic:pic>
                        </a:graphicData>
                      </a:graphic>
                    </wp:inline>
                  </w:drawing>
                </mc:Fallback>
              </mc:AlternateContent>
            </w:r>
            <w:r w:rsidDel="00000000" w:rsidR="00000000" w:rsidRPr="00000000">
              <w:rPr>
                <w:rtl w:val="0"/>
              </w:rPr>
            </w:r>
          </w:p>
        </w:tc>
        <w:tc>
          <w:tcPr>
            <w:vMerge w:val="restart"/>
          </w:tcPr>
          <w:p w:rsidR="00000000" w:rsidDel="00000000" w:rsidP="00000000" w:rsidRDefault="00000000" w:rsidRPr="00000000" w14:paraId="00000013">
            <w:pPr>
              <w:pStyle w:val="Heading1"/>
              <w:rPr/>
            </w:pPr>
            <w:r w:rsidDel="00000000" w:rsidR="00000000" w:rsidRPr="00000000">
              <w:rPr>
                <w:rtl w:val="0"/>
              </w:rPr>
              <w:t xml:space="preserve">PENDAHULUAN</w:t>
            </w:r>
          </w:p>
          <w:p w:rsidR="00000000" w:rsidDel="00000000" w:rsidP="00000000" w:rsidRDefault="00000000" w:rsidRPr="00000000" w14:paraId="0000001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Laporan ini menyajikan ringkasan program pengendalian kusta (P2 Kusta) di Provinsi Sumatera Barat selama tahun 2026. Data yang digunakan bersumber dari Kohort Puskesmas dan catatan program terkait ( SIPK ).</w:t>
            </w:r>
          </w:p>
          <w:p w:rsidR="00000000" w:rsidDel="00000000" w:rsidP="00000000" w:rsidRDefault="00000000" w:rsidRPr="00000000" w14:paraId="00000015">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Data Demografis dan Fasilitas Kesehatan</w:t>
            </w:r>
            <w:r w:rsidDel="00000000" w:rsidR="00000000" w:rsidRPr="00000000">
              <w:rPr>
                <w:rtl w:val="0"/>
              </w:rPr>
            </w:r>
          </w:p>
          <w:p w:rsidR="00000000" w:rsidDel="00000000" w:rsidP="00000000" w:rsidRDefault="00000000" w:rsidRPr="00000000" w14:paraId="00000016">
            <w:pPr>
              <w:numPr>
                <w:ilvl w:val="0"/>
                <w:numId w:val="5"/>
              </w:numPr>
              <w:ind w:left="720" w:hanging="360"/>
              <w:jc w:val="both"/>
              <w:rPr/>
            </w:pPr>
            <w:r w:rsidDel="00000000" w:rsidR="00000000" w:rsidRPr="00000000">
              <w:rPr>
                <w:rFonts w:ascii="Arial" w:cs="Arial" w:eastAsia="Arial" w:hAnsi="Arial"/>
                <w:sz w:val="22"/>
                <w:szCs w:val="22"/>
                <w:rtl w:val="0"/>
              </w:rPr>
              <w:t xml:space="preserve">Jumlah Penduduk: 5.676.344 jiwa</w:t>
            </w:r>
          </w:p>
          <w:p w:rsidR="00000000" w:rsidDel="00000000" w:rsidP="00000000" w:rsidRDefault="00000000" w:rsidRPr="00000000" w14:paraId="00000017">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Penemuan Kasus Baru</w:t>
            </w:r>
            <w:r w:rsidDel="00000000" w:rsidR="00000000" w:rsidRPr="00000000">
              <w:rPr>
                <w:rtl w:val="0"/>
              </w:rPr>
            </w:r>
          </w:p>
          <w:p w:rsidR="00000000" w:rsidDel="00000000" w:rsidP="00000000" w:rsidRDefault="00000000" w:rsidRPr="00000000" w14:paraId="00000019">
            <w:pPr>
              <w:numPr>
                <w:ilvl w:val="0"/>
                <w:numId w:val="6"/>
              </w:numPr>
              <w:ind w:left="720" w:hanging="360"/>
              <w:jc w:val="both"/>
              <w:rPr/>
            </w:pPr>
            <w:r w:rsidDel="00000000" w:rsidR="00000000" w:rsidRPr="00000000">
              <w:rPr>
                <w:rFonts w:ascii="Arial" w:cs="Arial" w:eastAsia="Arial" w:hAnsi="Arial"/>
                <w:sz w:val="22"/>
                <w:szCs w:val="22"/>
                <w:rtl w:val="0"/>
              </w:rPr>
              <w:t xml:space="preserve">Angka Penemuan Kasus Baru: 0,46 per 10.000 penduduk</w:t>
            </w:r>
          </w:p>
          <w:p w:rsidR="00000000" w:rsidDel="00000000" w:rsidP="00000000" w:rsidRDefault="00000000" w:rsidRPr="00000000" w14:paraId="0000001A">
            <w:pPr>
              <w:numPr>
                <w:ilvl w:val="0"/>
                <w:numId w:val="6"/>
              </w:numPr>
              <w:ind w:left="720" w:hanging="360"/>
              <w:jc w:val="both"/>
              <w:rPr/>
            </w:pPr>
            <w:r w:rsidDel="00000000" w:rsidR="00000000" w:rsidRPr="00000000">
              <w:rPr>
                <w:rFonts w:ascii="Arial" w:cs="Arial" w:eastAsia="Arial" w:hAnsi="Arial"/>
                <w:sz w:val="22"/>
                <w:szCs w:val="22"/>
                <w:rtl w:val="0"/>
              </w:rPr>
              <w:t xml:space="preserve">Jumlah Kasus Baru Ditemukan: </w:t>
            </w:r>
            <w:r w:rsidDel="00000000" w:rsidR="00000000" w:rsidRPr="00000000">
              <w:rPr>
                <w:rFonts w:ascii="Arial" w:cs="Arial" w:eastAsia="Arial" w:hAnsi="Arial"/>
                <w:b w:val="1"/>
                <w:bCs w:val="1"/>
                <w:sz w:val="22"/>
                <w:szCs w:val="22"/>
                <w:rtl w:val="0"/>
              </w:rPr>
              <w:t xml:space="preserve">26 kasus</w:t>
            </w:r>
            <w:r w:rsidDel="00000000" w:rsidR="00000000" w:rsidRPr="00000000">
              <w:rPr>
                <w:rtl w:val="0"/>
              </w:rPr>
            </w:r>
          </w:p>
          <w:p w:rsidR="00000000" w:rsidDel="00000000" w:rsidP="00000000" w:rsidRDefault="00000000" w:rsidRPr="00000000" w14:paraId="0000001B">
            <w:pPr>
              <w:numPr>
                <w:ilvl w:val="0"/>
                <w:numId w:val="6"/>
              </w:numPr>
              <w:ind w:left="720" w:hanging="360"/>
              <w:jc w:val="both"/>
              <w:rPr/>
            </w:pPr>
            <w:r w:rsidDel="00000000" w:rsidR="00000000" w:rsidRPr="00000000">
              <w:rPr>
                <w:rFonts w:ascii="Arial" w:cs="Arial" w:eastAsia="Arial" w:hAnsi="Arial"/>
                <w:sz w:val="22"/>
                <w:szCs w:val="22"/>
                <w:rtl w:val="0"/>
              </w:rPr>
              <w:t xml:space="preserve">Kasus Baru dengan Cacat Tingkat 2: 7 kasus</w:t>
            </w:r>
          </w:p>
          <w:p w:rsidR="00000000" w:rsidDel="00000000" w:rsidP="00000000" w:rsidRDefault="00000000" w:rsidRPr="00000000" w14:paraId="0000001C">
            <w:pPr>
              <w:numPr>
                <w:ilvl w:val="0"/>
                <w:numId w:val="6"/>
              </w:numPr>
              <w:ind w:left="720" w:hanging="360"/>
              <w:jc w:val="both"/>
              <w:rPr/>
            </w:pPr>
            <w:r w:rsidDel="00000000" w:rsidR="00000000" w:rsidRPr="00000000">
              <w:rPr>
                <w:rFonts w:ascii="Arial" w:cs="Arial" w:eastAsia="Arial" w:hAnsi="Arial"/>
                <w:sz w:val="22"/>
                <w:szCs w:val="22"/>
                <w:rtl w:val="0"/>
              </w:rPr>
              <w:t xml:space="preserve">Kasus Baru dengan Cacat Tingkat 1: 7 kasus</w:t>
            </w:r>
          </w:p>
          <w:p w:rsidR="00000000" w:rsidDel="00000000" w:rsidP="00000000" w:rsidRDefault="00000000" w:rsidRPr="00000000" w14:paraId="0000001D">
            <w:pPr>
              <w:numPr>
                <w:ilvl w:val="0"/>
                <w:numId w:val="6"/>
              </w:numPr>
              <w:ind w:left="720" w:hanging="360"/>
              <w:jc w:val="both"/>
              <w:rPr/>
            </w:pPr>
            <w:r w:rsidDel="00000000" w:rsidR="00000000" w:rsidRPr="00000000">
              <w:rPr>
                <w:rFonts w:ascii="Arial" w:cs="Arial" w:eastAsia="Arial" w:hAnsi="Arial"/>
                <w:sz w:val="22"/>
                <w:szCs w:val="22"/>
                <w:rtl w:val="0"/>
              </w:rPr>
              <w:t xml:space="preserve">Proporsi Kasus Baru dengan Cacat Tingkat 2: </w:t>
            </w:r>
            <w:r w:rsidDel="00000000" w:rsidR="00000000" w:rsidRPr="00000000">
              <w:rPr>
                <w:rFonts w:ascii="Arial" w:cs="Arial" w:eastAsia="Arial" w:hAnsi="Arial"/>
                <w:b w:val="1"/>
                <w:bCs w:val="1"/>
                <w:sz w:val="22"/>
                <w:szCs w:val="22"/>
                <w:rtl w:val="0"/>
              </w:rPr>
              <w:t xml:space="preserve">27%</w:t>
            </w:r>
            <w:r w:rsidDel="00000000" w:rsidR="00000000" w:rsidRPr="00000000">
              <w:rPr>
                <w:rtl w:val="0"/>
              </w:rPr>
            </w:r>
          </w:p>
          <w:p w:rsidR="00000000" w:rsidDel="00000000" w:rsidP="00000000" w:rsidRDefault="00000000" w:rsidRPr="00000000" w14:paraId="0000001E">
            <w:pPr>
              <w:numPr>
                <w:ilvl w:val="0"/>
                <w:numId w:val="6"/>
              </w:numPr>
              <w:ind w:left="720" w:hanging="360"/>
              <w:jc w:val="both"/>
              <w:rPr/>
            </w:pPr>
            <w:r w:rsidDel="00000000" w:rsidR="00000000" w:rsidRPr="00000000">
              <w:rPr>
                <w:rFonts w:ascii="Arial" w:cs="Arial" w:eastAsia="Arial" w:hAnsi="Arial"/>
                <w:sz w:val="22"/>
                <w:szCs w:val="22"/>
                <w:rtl w:val="0"/>
              </w:rPr>
              <w:t xml:space="preserve">Angka Cacat Tingkat 2 dari Kasus Baru: 0,12 per 100.000 penduduk</w:t>
            </w:r>
          </w:p>
          <w:p w:rsidR="00000000" w:rsidDel="00000000" w:rsidP="00000000" w:rsidRDefault="00000000" w:rsidRPr="00000000" w14:paraId="0000001F">
            <w:pPr>
              <w:numPr>
                <w:ilvl w:val="0"/>
                <w:numId w:val="6"/>
              </w:numPr>
              <w:ind w:left="720" w:hanging="360"/>
              <w:jc w:val="both"/>
              <w:rPr/>
            </w:pPr>
            <w:r w:rsidDel="00000000" w:rsidR="00000000" w:rsidRPr="00000000">
              <w:rPr>
                <w:rFonts w:ascii="Arial" w:cs="Arial" w:eastAsia="Arial" w:hAnsi="Arial"/>
                <w:sz w:val="22"/>
                <w:szCs w:val="22"/>
                <w:rtl w:val="0"/>
              </w:rPr>
              <w:t xml:space="preserve">Jumlah Kasus Baru Anak: </w:t>
            </w:r>
            <w:r w:rsidDel="00000000" w:rsidR="00000000" w:rsidRPr="00000000">
              <w:rPr>
                <w:rFonts w:ascii="Arial" w:cs="Arial" w:eastAsia="Arial" w:hAnsi="Arial"/>
                <w:b w:val="1"/>
                <w:bCs w:val="1"/>
                <w:sz w:val="22"/>
                <w:szCs w:val="22"/>
                <w:rtl w:val="0"/>
              </w:rPr>
              <w:t xml:space="preserve">1 kasus (4% dari total kasus baru)</w:t>
            </w:r>
            <w:r w:rsidDel="00000000" w:rsidR="00000000" w:rsidRPr="00000000">
              <w:rPr>
                <w:rtl w:val="0"/>
              </w:rPr>
            </w:r>
          </w:p>
          <w:p w:rsidR="00000000" w:rsidDel="00000000" w:rsidP="00000000" w:rsidRDefault="00000000" w:rsidRPr="00000000" w14:paraId="00000020">
            <w:pPr>
              <w:numPr>
                <w:ilvl w:val="0"/>
                <w:numId w:val="6"/>
              </w:numPr>
              <w:ind w:left="720" w:hanging="360"/>
              <w:jc w:val="both"/>
              <w:rPr/>
            </w:pPr>
            <w:r w:rsidDel="00000000" w:rsidR="00000000" w:rsidRPr="00000000">
              <w:rPr>
                <w:rFonts w:ascii="Arial" w:cs="Arial" w:eastAsia="Arial" w:hAnsi="Arial"/>
                <w:sz w:val="22"/>
                <w:szCs w:val="22"/>
                <w:rtl w:val="0"/>
              </w:rPr>
              <w:t xml:space="preserve">Jumlah Kasus Baru Perempuan: 10 kasus (38% dari total kasus baru)</w:t>
            </w:r>
          </w:p>
          <w:p w:rsidR="00000000" w:rsidDel="00000000" w:rsidP="00000000" w:rsidRDefault="00000000" w:rsidRPr="00000000" w14:paraId="00000021">
            <w:pPr>
              <w:numPr>
                <w:ilvl w:val="0"/>
                <w:numId w:val="6"/>
              </w:numPr>
              <w:ind w:left="720" w:hanging="360"/>
              <w:jc w:val="both"/>
              <w:rPr>
                <w:b w:val="1"/>
                <w:bCs w:val="1"/>
              </w:rPr>
            </w:pPr>
            <w:r w:rsidDel="00000000" w:rsidR="00000000" w:rsidRPr="00000000">
              <w:rPr>
                <w:rFonts w:ascii="Arial" w:cs="Arial" w:eastAsia="Arial" w:hAnsi="Arial"/>
                <w:sz w:val="22"/>
                <w:szCs w:val="22"/>
                <w:rtl w:val="0"/>
              </w:rPr>
              <w:t xml:space="preserve">Jumlah Kasus Baru Multibasiler (MB): </w:t>
            </w:r>
            <w:r w:rsidDel="00000000" w:rsidR="00000000" w:rsidRPr="00000000">
              <w:rPr>
                <w:rFonts w:ascii="Arial" w:cs="Arial" w:eastAsia="Arial" w:hAnsi="Arial"/>
                <w:b w:val="1"/>
                <w:bCs w:val="1"/>
                <w:sz w:val="22"/>
                <w:szCs w:val="22"/>
                <w:rtl w:val="0"/>
              </w:rPr>
              <w:t xml:space="preserve">24 kasus (92% dari total kasus baru)</w:t>
            </w:r>
          </w:p>
          <w:p w:rsidR="00000000" w:rsidDel="00000000" w:rsidP="00000000" w:rsidRDefault="00000000" w:rsidRPr="00000000" w14:paraId="00000022">
            <w:pPr>
              <w:numPr>
                <w:ilvl w:val="0"/>
                <w:numId w:val="6"/>
              </w:numPr>
              <w:ind w:left="720" w:hanging="360"/>
              <w:jc w:val="both"/>
              <w:rPr>
                <w:b w:val="1"/>
                <w:bCs w:val="1"/>
              </w:rPr>
            </w:pPr>
            <w:r w:rsidDel="00000000" w:rsidR="00000000" w:rsidRPr="00000000">
              <w:rPr>
                <w:rFonts w:ascii="Arial" w:cs="Arial" w:eastAsia="Arial" w:hAnsi="Arial"/>
                <w:sz w:val="22"/>
                <w:szCs w:val="22"/>
                <w:rtl w:val="0"/>
              </w:rPr>
              <w:t xml:space="preserve">Kasus Baru Ditemukan Melalui Penemuan Aktif </w:t>
            </w:r>
            <w:r w:rsidDel="00000000" w:rsidR="00000000" w:rsidRPr="00000000">
              <w:rPr>
                <w:rFonts w:ascii="Arial" w:cs="Arial" w:eastAsia="Arial" w:hAnsi="Arial"/>
                <w:b w:val="1"/>
                <w:bCs w:val="1"/>
                <w:sz w:val="22"/>
                <w:szCs w:val="22"/>
                <w:rtl w:val="0"/>
              </w:rPr>
              <w:t xml:space="preserve">(Selain Pemeriksaan Kontak): 46%</w:t>
            </w:r>
          </w:p>
          <w:p w:rsidR="00000000" w:rsidDel="00000000" w:rsidP="00000000" w:rsidRDefault="00000000" w:rsidRPr="00000000" w14:paraId="00000023">
            <w:pPr>
              <w:numPr>
                <w:ilvl w:val="0"/>
                <w:numId w:val="6"/>
              </w:numPr>
              <w:ind w:left="720" w:hanging="360"/>
              <w:jc w:val="both"/>
              <w:rPr/>
            </w:pPr>
            <w:r w:rsidDel="00000000" w:rsidR="00000000" w:rsidRPr="00000000">
              <w:rPr>
                <w:rFonts w:ascii="Arial" w:cs="Arial" w:eastAsia="Arial" w:hAnsi="Arial"/>
                <w:sz w:val="22"/>
                <w:szCs w:val="22"/>
                <w:rtl w:val="0"/>
              </w:rPr>
              <w:t xml:space="preserve">Kasus Baru Ditemukan Secara Pasif (Sukarela): </w:t>
            </w:r>
            <w:r w:rsidDel="00000000" w:rsidR="00000000" w:rsidRPr="00000000">
              <w:rPr>
                <w:rFonts w:ascii="Arial" w:cs="Arial" w:eastAsia="Arial" w:hAnsi="Arial"/>
                <w:b w:val="1"/>
                <w:bCs w:val="1"/>
                <w:sz w:val="22"/>
                <w:szCs w:val="22"/>
                <w:rtl w:val="0"/>
              </w:rPr>
              <w:t xml:space="preserve">46 kasus</w:t>
            </w:r>
            <w:r w:rsidDel="00000000" w:rsidR="00000000" w:rsidRPr="00000000">
              <w:rPr>
                <w:rtl w:val="0"/>
              </w:rPr>
            </w:r>
          </w:p>
          <w:p w:rsidR="00000000" w:rsidDel="00000000" w:rsidP="00000000" w:rsidRDefault="00000000" w:rsidRPr="00000000" w14:paraId="00000024">
            <w:pPr>
              <w:numPr>
                <w:ilvl w:val="0"/>
                <w:numId w:val="6"/>
              </w:numPr>
              <w:ind w:left="720" w:hanging="360"/>
              <w:jc w:val="both"/>
              <w:rPr/>
            </w:pPr>
            <w:r w:rsidDel="00000000" w:rsidR="00000000" w:rsidRPr="00000000">
              <w:rPr>
                <w:rFonts w:ascii="Arial" w:cs="Arial" w:eastAsia="Arial" w:hAnsi="Arial"/>
                <w:sz w:val="22"/>
                <w:szCs w:val="22"/>
                <w:rtl w:val="0"/>
              </w:rPr>
              <w:t xml:space="preserve">Kasus Baru Ditemukan Melalui Pemeriksaan Kontak: </w:t>
            </w:r>
            <w:r w:rsidDel="00000000" w:rsidR="00000000" w:rsidRPr="00000000">
              <w:rPr>
                <w:rFonts w:ascii="Arial" w:cs="Arial" w:eastAsia="Arial" w:hAnsi="Arial"/>
                <w:b w:val="1"/>
                <w:bCs w:val="1"/>
                <w:sz w:val="22"/>
                <w:szCs w:val="22"/>
                <w:rtl w:val="0"/>
              </w:rPr>
              <w:t xml:space="preserve">8 kasus</w:t>
            </w:r>
            <w:r w:rsidDel="00000000" w:rsidR="00000000" w:rsidRPr="00000000">
              <w:rPr>
                <w:rtl w:val="0"/>
              </w:rPr>
            </w:r>
          </w:p>
          <w:p w:rsidR="00000000" w:rsidDel="00000000" w:rsidP="00000000" w:rsidRDefault="00000000" w:rsidRPr="00000000" w14:paraId="0000002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4345287" cy="2724559"/>
                  <wp:effectExtent b="0" l="0" r="0" t="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345287" cy="2724559"/>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4584700" cy="3084830"/>
                  <wp:effectExtent b="0" l="0" r="0" t="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4584700" cy="308483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3441700</wp:posOffset>
                      </wp:positionH>
                      <wp:positionV relativeFrom="paragraph">
                        <wp:posOffset>717550</wp:posOffset>
                      </wp:positionV>
                      <wp:extent cx="755650" cy="260350"/>
                      <wp:effectExtent b="0" l="0" r="0" t="0"/>
                      <wp:wrapNone/>
                      <wp:docPr id="3" name=""/>
                      <a:graphic>
                        <a:graphicData uri="http://schemas.microsoft.com/office/word/2010/wordprocessingShape">
                          <wps:wsp>
                            <wps:cNvSpPr/>
                            <wps:cNvPr id="7" name="Shape 7"/>
                            <wps:spPr>
                              <a:xfrm>
                                <a:off x="4974525" y="3656175"/>
                                <a:ext cx="742950" cy="247650"/>
                              </a:xfrm>
                              <a:prstGeom prst="rect">
                                <a:avLst/>
                              </a:prstGeom>
                              <a:solidFill>
                                <a:schemeClr val="lt1"/>
                              </a:solidFill>
                              <a:ln cap="flat" cmpd="sng" w="12700">
                                <a:solidFill>
                                  <a:schemeClr val="accent6"/>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ill Sans" w:cs="Gill Sans" w:eastAsia="Gill Sans" w:hAnsi="Gill Sans"/>
                                      <w:b w:val="0"/>
                                      <w:i w:val="0"/>
                                      <w:smallCaps w:val="0"/>
                                      <w:strike w:val="0"/>
                                      <w:color w:val="0b0402"/>
                                      <w:sz w:val="20"/>
                                      <w:vertAlign w:val="baseline"/>
                                    </w:rPr>
                                    <w:t xml:space="preserve">Prov 27%</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3441700</wp:posOffset>
                      </wp:positionH>
                      <wp:positionV relativeFrom="paragraph">
                        <wp:posOffset>717550</wp:posOffset>
                      </wp:positionV>
                      <wp:extent cx="755650" cy="260350"/>
                      <wp:effectExtent b="0" l="0" r="0" t="0"/>
                      <wp:wrapNone/>
                      <wp:docPr id="3"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755650" cy="260350"/>
                              </a:xfrm>
                              <a:prstGeom prst="rect"/>
                              <a:ln/>
                            </pic:spPr>
                          </pic:pic>
                        </a:graphicData>
                      </a:graphic>
                    </wp:anchor>
                  </w:drawing>
                </mc:Fallback>
              </mc:AlternateContent>
            </w:r>
          </w:p>
          <w:p w:rsidR="00000000" w:rsidDel="00000000" w:rsidP="00000000" w:rsidRDefault="00000000" w:rsidRPr="00000000" w14:paraId="0000002D">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E">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F">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Angka Kesembuhan (RFT Rate)</w:t>
            </w:r>
            <w:r w:rsidDel="00000000" w:rsidR="00000000" w:rsidRPr="00000000">
              <w:rPr>
                <w:rtl w:val="0"/>
              </w:rPr>
            </w:r>
          </w:p>
          <w:p w:rsidR="00000000" w:rsidDel="00000000" w:rsidP="00000000" w:rsidRDefault="00000000" w:rsidRPr="00000000" w14:paraId="00000030">
            <w:pPr>
              <w:numPr>
                <w:ilvl w:val="0"/>
                <w:numId w:val="7"/>
              </w:numPr>
              <w:ind w:left="720" w:hanging="360"/>
              <w:jc w:val="both"/>
              <w:rPr/>
            </w:pPr>
            <w:r w:rsidDel="00000000" w:rsidR="00000000" w:rsidRPr="00000000">
              <w:rPr>
                <w:rFonts w:ascii="Arial" w:cs="Arial" w:eastAsia="Arial" w:hAnsi="Arial"/>
                <w:b w:val="1"/>
                <w:bCs w:val="1"/>
                <w:sz w:val="22"/>
                <w:szCs w:val="22"/>
                <w:rtl w:val="0"/>
              </w:rPr>
              <w:t xml:space="preserve">MB</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31">
            <w:pPr>
              <w:numPr>
                <w:ilvl w:val="1"/>
                <w:numId w:val="7"/>
              </w:numPr>
              <w:ind w:left="1440" w:hanging="360"/>
              <w:jc w:val="both"/>
              <w:rPr/>
            </w:pPr>
            <w:r w:rsidDel="00000000" w:rsidR="00000000" w:rsidRPr="00000000">
              <w:rPr>
                <w:rFonts w:ascii="Arial" w:cs="Arial" w:eastAsia="Arial" w:hAnsi="Arial"/>
                <w:sz w:val="22"/>
                <w:szCs w:val="22"/>
                <w:rtl w:val="0"/>
              </w:rPr>
              <w:t xml:space="preserve">Pasien Mulai MDT: 51</w:t>
            </w:r>
          </w:p>
          <w:p w:rsidR="00000000" w:rsidDel="00000000" w:rsidP="00000000" w:rsidRDefault="00000000" w:rsidRPr="00000000" w14:paraId="00000032">
            <w:pPr>
              <w:numPr>
                <w:ilvl w:val="1"/>
                <w:numId w:val="7"/>
              </w:numPr>
              <w:ind w:left="1440" w:hanging="360"/>
              <w:jc w:val="both"/>
              <w:rPr/>
            </w:pPr>
            <w:r w:rsidDel="00000000" w:rsidR="00000000" w:rsidRPr="00000000">
              <w:rPr>
                <w:rFonts w:ascii="Arial" w:cs="Arial" w:eastAsia="Arial" w:hAnsi="Arial"/>
                <w:sz w:val="22"/>
                <w:szCs w:val="22"/>
                <w:rtl w:val="0"/>
              </w:rPr>
              <w:t xml:space="preserve">Pasien Selesai MDT (RFT): 47</w:t>
            </w:r>
          </w:p>
          <w:p w:rsidR="00000000" w:rsidDel="00000000" w:rsidP="00000000" w:rsidRDefault="00000000" w:rsidRPr="00000000" w14:paraId="00000033">
            <w:pPr>
              <w:numPr>
                <w:ilvl w:val="1"/>
                <w:numId w:val="7"/>
              </w:numPr>
              <w:ind w:left="1440" w:hanging="360"/>
              <w:jc w:val="both"/>
              <w:rPr/>
            </w:pPr>
            <w:r w:rsidDel="00000000" w:rsidR="00000000" w:rsidRPr="00000000">
              <w:rPr>
                <w:rFonts w:ascii="Arial" w:cs="Arial" w:eastAsia="Arial" w:hAnsi="Arial"/>
                <w:sz w:val="22"/>
                <w:szCs w:val="22"/>
                <w:rtl w:val="0"/>
              </w:rPr>
              <w:t xml:space="preserve">RFT Rate: 92,16%</w:t>
            </w:r>
          </w:p>
          <w:p w:rsidR="00000000" w:rsidDel="00000000" w:rsidP="00000000" w:rsidRDefault="00000000" w:rsidRPr="00000000" w14:paraId="00000034">
            <w:pPr>
              <w:numPr>
                <w:ilvl w:val="0"/>
                <w:numId w:val="7"/>
              </w:numPr>
              <w:ind w:left="720" w:hanging="360"/>
              <w:jc w:val="both"/>
              <w:rPr/>
            </w:pPr>
            <w:r w:rsidDel="00000000" w:rsidR="00000000" w:rsidRPr="00000000">
              <w:rPr>
                <w:rFonts w:ascii="Arial" w:cs="Arial" w:eastAsia="Arial" w:hAnsi="Arial"/>
                <w:b w:val="1"/>
                <w:bCs w:val="1"/>
                <w:sz w:val="22"/>
                <w:szCs w:val="22"/>
                <w:rtl w:val="0"/>
              </w:rPr>
              <w:t xml:space="preserve">PB</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35">
            <w:pPr>
              <w:numPr>
                <w:ilvl w:val="1"/>
                <w:numId w:val="7"/>
              </w:numPr>
              <w:ind w:left="1440" w:hanging="360"/>
              <w:jc w:val="both"/>
              <w:rPr/>
            </w:pPr>
            <w:r w:rsidDel="00000000" w:rsidR="00000000" w:rsidRPr="00000000">
              <w:rPr>
                <w:rFonts w:ascii="Arial" w:cs="Arial" w:eastAsia="Arial" w:hAnsi="Arial"/>
                <w:sz w:val="22"/>
                <w:szCs w:val="22"/>
                <w:rtl w:val="0"/>
              </w:rPr>
              <w:t xml:space="preserve">Pasien Mulai MDT: 5</w:t>
            </w:r>
          </w:p>
          <w:p w:rsidR="00000000" w:rsidDel="00000000" w:rsidP="00000000" w:rsidRDefault="00000000" w:rsidRPr="00000000" w14:paraId="00000036">
            <w:pPr>
              <w:numPr>
                <w:ilvl w:val="1"/>
                <w:numId w:val="7"/>
              </w:numPr>
              <w:ind w:left="1440" w:hanging="360"/>
              <w:jc w:val="both"/>
              <w:rPr/>
            </w:pPr>
            <w:r w:rsidDel="00000000" w:rsidR="00000000" w:rsidRPr="00000000">
              <w:rPr>
                <w:rFonts w:ascii="Arial" w:cs="Arial" w:eastAsia="Arial" w:hAnsi="Arial"/>
                <w:sz w:val="22"/>
                <w:szCs w:val="22"/>
                <w:rtl w:val="0"/>
              </w:rPr>
              <w:t xml:space="preserve">Pasien Selesai MDT (RFT): 5</w:t>
            </w:r>
          </w:p>
          <w:p w:rsidR="00000000" w:rsidDel="00000000" w:rsidP="00000000" w:rsidRDefault="00000000" w:rsidRPr="00000000" w14:paraId="00000037">
            <w:pPr>
              <w:numPr>
                <w:ilvl w:val="1"/>
                <w:numId w:val="7"/>
              </w:numPr>
              <w:ind w:left="1440" w:hanging="360"/>
              <w:jc w:val="both"/>
              <w:rPr/>
            </w:pPr>
            <w:r w:rsidDel="00000000" w:rsidR="00000000" w:rsidRPr="00000000">
              <w:rPr>
                <w:rFonts w:ascii="Arial" w:cs="Arial" w:eastAsia="Arial" w:hAnsi="Arial"/>
                <w:sz w:val="22"/>
                <w:szCs w:val="22"/>
                <w:rtl w:val="0"/>
              </w:rPr>
              <w:t xml:space="preserve">RFT Rate: 100%</w:t>
            </w:r>
          </w:p>
          <w:p w:rsidR="00000000" w:rsidDel="00000000" w:rsidP="00000000" w:rsidRDefault="00000000" w:rsidRPr="00000000" w14:paraId="00000038">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RFT MB</w:t>
            </w:r>
          </w:p>
          <w:p w:rsidR="00000000" w:rsidDel="00000000" w:rsidP="00000000" w:rsidRDefault="00000000" w:rsidRPr="00000000" w14:paraId="0000003A">
            <w:pPr>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4333875" cy="3476625"/>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333875" cy="3476625"/>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C">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D">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E">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F">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0">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RFT PB</w:t>
            </w:r>
          </w:p>
          <w:p w:rsidR="00000000" w:rsidDel="00000000" w:rsidP="00000000" w:rsidRDefault="00000000" w:rsidRPr="00000000" w14:paraId="00000041">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2">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Pr>
              <w:drawing>
                <wp:inline distB="0" distT="0" distL="0" distR="0">
                  <wp:extent cx="4343400" cy="2790825"/>
                  <wp:effectExtent b="0" l="0" r="0" t="0"/>
                  <wp:docPr id="8"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343400" cy="279082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Cacat dan Reaksi</w:t>
            </w:r>
            <w:r w:rsidDel="00000000" w:rsidR="00000000" w:rsidRPr="00000000">
              <w:rPr>
                <w:rtl w:val="0"/>
              </w:rPr>
            </w:r>
          </w:p>
          <w:p w:rsidR="00000000" w:rsidDel="00000000" w:rsidP="00000000" w:rsidRDefault="00000000" w:rsidRPr="00000000" w14:paraId="00000044">
            <w:pPr>
              <w:numPr>
                <w:ilvl w:val="0"/>
                <w:numId w:val="8"/>
              </w:numPr>
              <w:ind w:left="720" w:hanging="360"/>
              <w:jc w:val="both"/>
              <w:rPr/>
            </w:pPr>
            <w:r w:rsidDel="00000000" w:rsidR="00000000" w:rsidRPr="00000000">
              <w:rPr>
                <w:rFonts w:ascii="Arial" w:cs="Arial" w:eastAsia="Arial" w:hAnsi="Arial"/>
                <w:sz w:val="22"/>
                <w:szCs w:val="22"/>
                <w:rtl w:val="0"/>
              </w:rPr>
              <w:t xml:space="preserve">Pasien yang Bertambah Cacat Selama MDT:</w:t>
            </w:r>
          </w:p>
          <w:p w:rsidR="00000000" w:rsidDel="00000000" w:rsidP="00000000" w:rsidRDefault="00000000" w:rsidRPr="00000000" w14:paraId="00000045">
            <w:pPr>
              <w:numPr>
                <w:ilvl w:val="1"/>
                <w:numId w:val="8"/>
              </w:numPr>
              <w:ind w:left="1440" w:hanging="360"/>
              <w:jc w:val="both"/>
              <w:rPr/>
            </w:pPr>
            <w:r w:rsidDel="00000000" w:rsidR="00000000" w:rsidRPr="00000000">
              <w:rPr>
                <w:rFonts w:ascii="Arial" w:cs="Arial" w:eastAsia="Arial" w:hAnsi="Arial"/>
                <w:sz w:val="22"/>
                <w:szCs w:val="22"/>
                <w:rtl w:val="0"/>
              </w:rPr>
              <w:t xml:space="preserve">MB: 1 kasus</w:t>
            </w:r>
          </w:p>
          <w:p w:rsidR="00000000" w:rsidDel="00000000" w:rsidP="00000000" w:rsidRDefault="00000000" w:rsidRPr="00000000" w14:paraId="00000046">
            <w:pPr>
              <w:numPr>
                <w:ilvl w:val="1"/>
                <w:numId w:val="8"/>
              </w:numPr>
              <w:ind w:left="1440" w:hanging="360"/>
              <w:jc w:val="both"/>
              <w:rPr/>
            </w:pPr>
            <w:r w:rsidDel="00000000" w:rsidR="00000000" w:rsidRPr="00000000">
              <w:rPr>
                <w:rFonts w:ascii="Arial" w:cs="Arial" w:eastAsia="Arial" w:hAnsi="Arial"/>
                <w:sz w:val="22"/>
                <w:szCs w:val="22"/>
                <w:rtl w:val="0"/>
              </w:rPr>
              <w:t xml:space="preserve">PB: 0 kasus</w:t>
            </w:r>
          </w:p>
          <w:p w:rsidR="00000000" w:rsidDel="00000000" w:rsidP="00000000" w:rsidRDefault="00000000" w:rsidRPr="00000000" w14:paraId="00000047">
            <w:pPr>
              <w:numPr>
                <w:ilvl w:val="0"/>
                <w:numId w:val="8"/>
              </w:numPr>
              <w:ind w:left="720" w:hanging="360"/>
              <w:jc w:val="both"/>
              <w:rPr/>
            </w:pPr>
            <w:r w:rsidDel="00000000" w:rsidR="00000000" w:rsidRPr="00000000">
              <w:rPr>
                <w:rFonts w:ascii="Arial" w:cs="Arial" w:eastAsia="Arial" w:hAnsi="Arial"/>
                <w:sz w:val="22"/>
                <w:szCs w:val="22"/>
                <w:rtl w:val="0"/>
              </w:rPr>
              <w:t xml:space="preserve">Jumlah Kasus Reaksi Berat yang Ditangani (Termasuk ENL Kronis): 2 kasus</w:t>
            </w:r>
          </w:p>
          <w:p w:rsidR="00000000" w:rsidDel="00000000" w:rsidP="00000000" w:rsidRDefault="00000000" w:rsidRPr="00000000" w14:paraId="00000048">
            <w:pPr>
              <w:numPr>
                <w:ilvl w:val="0"/>
                <w:numId w:val="8"/>
              </w:numPr>
              <w:ind w:left="720" w:hanging="360"/>
              <w:jc w:val="both"/>
              <w:rPr/>
            </w:pPr>
            <w:r w:rsidDel="00000000" w:rsidR="00000000" w:rsidRPr="00000000">
              <w:rPr>
                <w:rFonts w:ascii="Arial" w:cs="Arial" w:eastAsia="Arial" w:hAnsi="Arial"/>
                <w:sz w:val="22"/>
                <w:szCs w:val="22"/>
                <w:rtl w:val="0"/>
              </w:rPr>
              <w:t xml:space="preserve">Jumlah Kasus ENL Kronis yang Ditangani: 2 kasus</w:t>
            </w:r>
          </w:p>
          <w:p w:rsidR="00000000" w:rsidDel="00000000" w:rsidP="00000000" w:rsidRDefault="00000000" w:rsidRPr="00000000" w14:paraId="0000004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A">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Analisis</w:t>
            </w:r>
            <w:r w:rsidDel="00000000" w:rsidR="00000000" w:rsidRPr="00000000">
              <w:rPr>
                <w:rtl w:val="0"/>
              </w:rPr>
            </w:r>
          </w:p>
          <w:p w:rsidR="00000000" w:rsidDel="00000000" w:rsidP="00000000" w:rsidRDefault="00000000" w:rsidRPr="00000000" w14:paraId="0000004B">
            <w:pPr>
              <w:numPr>
                <w:ilvl w:val="0"/>
                <w:numId w:val="9"/>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Penemuan Kasus:</w:t>
            </w:r>
            <w:r w:rsidDel="00000000" w:rsidR="00000000" w:rsidRPr="00000000">
              <w:rPr>
                <w:rFonts w:ascii="Arial" w:cs="Arial" w:eastAsia="Arial" w:hAnsi="Arial"/>
                <w:sz w:val="22"/>
                <w:szCs w:val="22"/>
                <w:rtl w:val="0"/>
              </w:rPr>
              <w:t xml:space="preserve"> Angka penemuan kasus baru (0,46 per 10.000 penduduk) menunjukkan upaya deteksi yang sedang berjalan. Proporsi kasus MB yang tinggi (92%) mengindikasikan masih adanya penularan yang sangat tinggi di Provinsi Sumatera Barat Tingginya persentase kasus yang ditemukan secara pasif (46%) menunjukkan kesadaran masyarakat yang baik, tetapi penemuan aktif juga perlu ditingkatkan.</w:t>
            </w:r>
          </w:p>
          <w:p w:rsidR="00000000" w:rsidDel="00000000" w:rsidP="00000000" w:rsidRDefault="00000000" w:rsidRPr="00000000" w14:paraId="0000004C">
            <w:pPr>
              <w:numPr>
                <w:ilvl w:val="0"/>
                <w:numId w:val="9"/>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Cacat:</w:t>
            </w:r>
            <w:r w:rsidDel="00000000" w:rsidR="00000000" w:rsidRPr="00000000">
              <w:rPr>
                <w:rFonts w:ascii="Arial" w:cs="Arial" w:eastAsia="Arial" w:hAnsi="Arial"/>
                <w:sz w:val="22"/>
                <w:szCs w:val="22"/>
                <w:rtl w:val="0"/>
              </w:rPr>
              <w:t xml:space="preserve"> Proporsi kasus baru dengan cacat tingkat 2 (27%) masih perlu menjadi perhatian, mengindikasikan keterlambatan diagnosis yang disebabkan banyaknya pasien yang sudah mengalami kecacatan ( dalam keadaan reaksi berat ), baru datang ke layanan kesehatan atau penanganan. Perlu ada upaya lebih intensif untuk deteksi dini.</w:t>
            </w:r>
          </w:p>
          <w:p w:rsidR="00000000" w:rsidDel="00000000" w:rsidP="00000000" w:rsidRDefault="00000000" w:rsidRPr="00000000" w14:paraId="0000004D">
            <w:pPr>
              <w:numPr>
                <w:ilvl w:val="0"/>
                <w:numId w:val="9"/>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RFT Rate:</w:t>
            </w:r>
            <w:r w:rsidDel="00000000" w:rsidR="00000000" w:rsidRPr="00000000">
              <w:rPr>
                <w:rFonts w:ascii="Arial" w:cs="Arial" w:eastAsia="Arial" w:hAnsi="Arial"/>
                <w:sz w:val="22"/>
                <w:szCs w:val="22"/>
                <w:rtl w:val="0"/>
              </w:rPr>
              <w:t xml:space="preserve"> Angka kesembuhan (RFT Rate) yang tinggi pada kasus MB (92,16%) dan PB (100%) menunjukkan efektivitas pengobatan MDT. Namun, perlu dipastikan bahwa data kohort akurat dan semua pasien yang memulai pengobatan menyelesaikan rejimen yang ditentukan.</w:t>
            </w:r>
          </w:p>
          <w:p w:rsidR="00000000" w:rsidDel="00000000" w:rsidP="00000000" w:rsidRDefault="00000000" w:rsidRPr="00000000" w14:paraId="0000004E">
            <w:pPr>
              <w:numPr>
                <w:ilvl w:val="0"/>
                <w:numId w:val="9"/>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Reaksi dan Cacat:</w:t>
            </w:r>
            <w:r w:rsidDel="00000000" w:rsidR="00000000" w:rsidRPr="00000000">
              <w:rPr>
                <w:rFonts w:ascii="Arial" w:cs="Arial" w:eastAsia="Arial" w:hAnsi="Arial"/>
                <w:sz w:val="22"/>
                <w:szCs w:val="22"/>
                <w:rtl w:val="0"/>
              </w:rPr>
              <w:t xml:space="preserve"> Adanya kasus yang bertambah cacat selama pengobatan (1 kasus MB) memerlukan evaluasi lebih lanjut mengenai penanganan reaksi dan kepatuhan pasien terhadap pengobatan. Penanganan kasus reaksi berat dan ENL kronis juga perlu menjadi perhatian</w:t>
            </w:r>
          </w:p>
          <w:p w:rsidR="00000000" w:rsidDel="00000000" w:rsidP="00000000" w:rsidRDefault="00000000" w:rsidRPr="00000000" w14:paraId="0000004F">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ind w:left="72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Permasalahan</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b040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22"/>
                <w:szCs w:val="22"/>
                <w:u w:val="none"/>
                <w:shd w:fill="auto" w:val="clear"/>
                <w:vertAlign w:val="baseline"/>
                <w:rtl w:val="0"/>
              </w:rPr>
              <w:t xml:space="preserve">Semakin tinggi penemuan kasus baru secara Pasif akan beresiko akan tingginya kecacatan yang ditemukan, hal ini disebabkan awalnya hanya bercak yang mati rasa dan tidak mengganggu secara fisik</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b040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22"/>
                <w:szCs w:val="22"/>
                <w:u w:val="none"/>
                <w:shd w:fill="auto" w:val="clear"/>
                <w:vertAlign w:val="baseline"/>
                <w:rtl w:val="0"/>
              </w:rPr>
              <w:t xml:space="preserve">Masih ada Kabupaten / Kota yang ( </w:t>
            </w:r>
            <w:r w:rsidDel="00000000" w:rsidR="00000000" w:rsidRPr="00000000">
              <w:rPr>
                <w:rFonts w:ascii="Arial" w:cs="Arial" w:eastAsia="Arial" w:hAnsi="Arial"/>
                <w:b w:val="0"/>
                <w:bCs w:val="0"/>
                <w:i w:val="1"/>
                <w:iCs w:val="1"/>
                <w:smallCaps w:val="0"/>
                <w:strike w:val="0"/>
                <w:color w:val="0b0402"/>
                <w:sz w:val="22"/>
                <w:szCs w:val="22"/>
                <w:u w:val="none"/>
                <w:shd w:fill="auto" w:val="clear"/>
                <w:vertAlign w:val="baseline"/>
                <w:rtl w:val="0"/>
              </w:rPr>
              <w:t xml:space="preserve">Kab Dharmasraya, Kab Pasaman Barat baru 1 pasien, Kab Tanah Datar, Kab Agam, dan Kab Solok</w:t>
            </w:r>
            <w:r w:rsidDel="00000000" w:rsidR="00000000" w:rsidRPr="00000000">
              <w:rPr>
                <w:rFonts w:ascii="Arial" w:cs="Arial" w:eastAsia="Arial" w:hAnsi="Arial"/>
                <w:b w:val="0"/>
                <w:bCs w:val="0"/>
                <w:i w:val="0"/>
                <w:iCs w:val="0"/>
                <w:smallCaps w:val="0"/>
                <w:strike w:val="0"/>
                <w:color w:val="0b0402"/>
                <w:sz w:val="22"/>
                <w:szCs w:val="22"/>
                <w:u w:val="none"/>
                <w:shd w:fill="auto" w:val="clear"/>
                <w:vertAlign w:val="baseline"/>
                <w:rtl w:val="0"/>
              </w:rPr>
              <w:t xml:space="preserve"> ) belum di entri ke SITASIA</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b040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22"/>
                <w:szCs w:val="22"/>
                <w:u w:val="none"/>
                <w:shd w:fill="auto" w:val="clear"/>
                <w:vertAlign w:val="baseline"/>
                <w:rtl w:val="0"/>
              </w:rPr>
              <w:t xml:space="preserve">Masih banyak petugas kusta di puskesmas belum mampu melakukan pemeriksaan fisik fungsi syaraf ( POD )</w:t>
            </w:r>
          </w:p>
          <w:p w:rsidR="00000000" w:rsidDel="00000000" w:rsidP="00000000" w:rsidRDefault="00000000" w:rsidRPr="00000000" w14:paraId="0000005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jc w:val="both"/>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4343400" cy="4657725"/>
                  <wp:effectExtent b="0" l="0" r="0" t="0"/>
                  <wp:docPr id="7"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4343400" cy="4657725"/>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Keterangan</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b040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18"/>
                <w:szCs w:val="18"/>
                <w:u w:val="none"/>
                <w:shd w:fill="auto" w:val="clear"/>
                <w:vertAlign w:val="baseline"/>
                <w:rtl w:val="0"/>
              </w:rPr>
              <w:t xml:space="preserve">Kabupaten Agam belum meinput ke SITASIA</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b040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18"/>
                <w:szCs w:val="18"/>
                <w:u w:val="none"/>
                <w:shd w:fill="auto" w:val="clear"/>
                <w:vertAlign w:val="baseline"/>
                <w:rtl w:val="0"/>
              </w:rPr>
              <w:t xml:space="preserve">Kabupaten Solok belum meinput ke SITASIA</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b040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18"/>
                <w:szCs w:val="18"/>
                <w:u w:val="none"/>
                <w:shd w:fill="auto" w:val="clear"/>
                <w:vertAlign w:val="baseline"/>
                <w:rtl w:val="0"/>
              </w:rPr>
              <w:t xml:space="preserve">Kabupaten Tanah Data belum meinput ke SITASIA</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b040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18"/>
                <w:szCs w:val="18"/>
                <w:u w:val="none"/>
                <w:shd w:fill="auto" w:val="clear"/>
                <w:vertAlign w:val="baseline"/>
                <w:rtl w:val="0"/>
              </w:rPr>
              <w:t xml:space="preserve">Kabupaten Pasaman Barat belum meinput ke SITASIA</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b040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18"/>
                <w:szCs w:val="18"/>
                <w:u w:val="none"/>
                <w:shd w:fill="auto" w:val="clear"/>
                <w:vertAlign w:val="baseline"/>
                <w:rtl w:val="0"/>
              </w:rPr>
              <w:t xml:space="preserve">Kabupaten Dharmasraya belum meinput ke SITASIA</w:t>
            </w:r>
          </w:p>
          <w:p w:rsidR="00000000" w:rsidDel="00000000" w:rsidP="00000000" w:rsidRDefault="00000000" w:rsidRPr="00000000" w14:paraId="00000062">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3">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Rekomendasi</w:t>
            </w:r>
            <w:r w:rsidDel="00000000" w:rsidR="00000000" w:rsidRPr="00000000">
              <w:rPr>
                <w:rtl w:val="0"/>
              </w:rPr>
            </w:r>
          </w:p>
          <w:p w:rsidR="00000000" w:rsidDel="00000000" w:rsidP="00000000" w:rsidRDefault="00000000" w:rsidRPr="00000000" w14:paraId="00000064">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Peningkatan Deteksi Dini:</w:t>
            </w:r>
            <w:r w:rsidDel="00000000" w:rsidR="00000000" w:rsidRPr="00000000">
              <w:rPr>
                <w:rtl w:val="0"/>
              </w:rPr>
            </w:r>
          </w:p>
          <w:p w:rsidR="00000000" w:rsidDel="00000000" w:rsidP="00000000" w:rsidRDefault="00000000" w:rsidRPr="00000000" w14:paraId="00000065">
            <w:pPr>
              <w:numPr>
                <w:ilvl w:val="1"/>
                <w:numId w:val="1"/>
              </w:numPr>
              <w:ind w:left="1440" w:hanging="360"/>
              <w:jc w:val="both"/>
              <w:rPr/>
            </w:pPr>
            <w:r w:rsidDel="00000000" w:rsidR="00000000" w:rsidRPr="00000000">
              <w:rPr>
                <w:rFonts w:ascii="Arial" w:cs="Arial" w:eastAsia="Arial" w:hAnsi="Arial"/>
                <w:sz w:val="22"/>
                <w:szCs w:val="22"/>
                <w:rtl w:val="0"/>
              </w:rPr>
              <w:t xml:space="preserve">Intensifkan kegiatan penemuan kasus aktif, terutama di wilayah dengan risiko tinggi.</w:t>
            </w:r>
          </w:p>
          <w:p w:rsidR="00000000" w:rsidDel="00000000" w:rsidP="00000000" w:rsidRDefault="00000000" w:rsidRPr="00000000" w14:paraId="00000066">
            <w:pPr>
              <w:numPr>
                <w:ilvl w:val="1"/>
                <w:numId w:val="1"/>
              </w:numPr>
              <w:ind w:left="1440" w:hanging="360"/>
              <w:jc w:val="both"/>
              <w:rPr/>
            </w:pPr>
            <w:r w:rsidDel="00000000" w:rsidR="00000000" w:rsidRPr="00000000">
              <w:rPr>
                <w:rFonts w:ascii="Arial" w:cs="Arial" w:eastAsia="Arial" w:hAnsi="Arial"/>
                <w:sz w:val="22"/>
                <w:szCs w:val="22"/>
                <w:rtl w:val="0"/>
              </w:rPr>
              <w:t xml:space="preserve">Edukasi masyarakat mengenai gejala awal kusta untuk meningkatkan kesadaran dan deteksi dini.</w:t>
            </w:r>
          </w:p>
          <w:p w:rsidR="00000000" w:rsidDel="00000000" w:rsidP="00000000" w:rsidRDefault="00000000" w:rsidRPr="00000000" w14:paraId="00000067">
            <w:pPr>
              <w:numPr>
                <w:ilvl w:val="1"/>
                <w:numId w:val="1"/>
              </w:numPr>
              <w:ind w:left="1440" w:hanging="360"/>
              <w:jc w:val="both"/>
              <w:rPr/>
            </w:pPr>
            <w:r w:rsidDel="00000000" w:rsidR="00000000" w:rsidRPr="00000000">
              <w:rPr>
                <w:rFonts w:ascii="Arial" w:cs="Arial" w:eastAsia="Arial" w:hAnsi="Arial"/>
                <w:sz w:val="22"/>
                <w:szCs w:val="22"/>
                <w:rtl w:val="0"/>
              </w:rPr>
              <w:t xml:space="preserve">Pemberian kemoprofilaksis ( pencegahan ) pada kontak erat atau serumah</w:t>
            </w:r>
          </w:p>
          <w:p w:rsidR="00000000" w:rsidDel="00000000" w:rsidP="00000000" w:rsidRDefault="00000000" w:rsidRPr="00000000" w14:paraId="00000068">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B">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D">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Penguatan Program Pencegahan Cacat:</w:t>
            </w:r>
            <w:r w:rsidDel="00000000" w:rsidR="00000000" w:rsidRPr="00000000">
              <w:rPr>
                <w:rtl w:val="0"/>
              </w:rPr>
            </w:r>
          </w:p>
          <w:p w:rsidR="00000000" w:rsidDel="00000000" w:rsidP="00000000" w:rsidRDefault="00000000" w:rsidRPr="00000000" w14:paraId="0000006E">
            <w:pPr>
              <w:numPr>
                <w:ilvl w:val="1"/>
                <w:numId w:val="1"/>
              </w:numPr>
              <w:ind w:left="1440" w:hanging="360"/>
              <w:jc w:val="both"/>
              <w:rPr/>
            </w:pPr>
            <w:r w:rsidDel="00000000" w:rsidR="00000000" w:rsidRPr="00000000">
              <w:rPr>
                <w:rFonts w:ascii="Arial" w:cs="Arial" w:eastAsia="Arial" w:hAnsi="Arial"/>
                <w:sz w:val="22"/>
                <w:szCs w:val="22"/>
                <w:rtl w:val="0"/>
              </w:rPr>
              <w:t xml:space="preserve">Pastikan diagnosis dan pengobatan yang cepat dan tepat untuk mencegah perkembangan cacat, dengan cara pemeriksaan POD setiap bulan</w:t>
            </w:r>
          </w:p>
          <w:p w:rsidR="00000000" w:rsidDel="00000000" w:rsidP="00000000" w:rsidRDefault="00000000" w:rsidRPr="00000000" w14:paraId="0000006F">
            <w:pPr>
              <w:numPr>
                <w:ilvl w:val="1"/>
                <w:numId w:val="1"/>
              </w:numPr>
              <w:ind w:left="1440" w:hanging="360"/>
              <w:jc w:val="both"/>
              <w:rPr/>
            </w:pPr>
            <w:r w:rsidDel="00000000" w:rsidR="00000000" w:rsidRPr="00000000">
              <w:rPr>
                <w:rFonts w:ascii="Arial" w:cs="Arial" w:eastAsia="Arial" w:hAnsi="Arial"/>
                <w:sz w:val="22"/>
                <w:szCs w:val="22"/>
                <w:rtl w:val="0"/>
              </w:rPr>
              <w:t xml:space="preserve">Ajarkan  perawatan diri kepada pasien kusta dan pasien kusta RFT dengan cacat tingkat 1 dan 2.</w:t>
            </w:r>
          </w:p>
          <w:p w:rsidR="00000000" w:rsidDel="00000000" w:rsidP="00000000" w:rsidRDefault="00000000" w:rsidRPr="00000000" w14:paraId="00000070">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Monitoring dan Evaluasi:</w:t>
            </w:r>
            <w:r w:rsidDel="00000000" w:rsidR="00000000" w:rsidRPr="00000000">
              <w:rPr>
                <w:rtl w:val="0"/>
              </w:rPr>
            </w:r>
          </w:p>
          <w:p w:rsidR="00000000" w:rsidDel="00000000" w:rsidP="00000000" w:rsidRDefault="00000000" w:rsidRPr="00000000" w14:paraId="00000071">
            <w:pPr>
              <w:numPr>
                <w:ilvl w:val="1"/>
                <w:numId w:val="1"/>
              </w:numPr>
              <w:ind w:left="1440" w:hanging="360"/>
              <w:jc w:val="both"/>
              <w:rPr/>
            </w:pPr>
            <w:r w:rsidDel="00000000" w:rsidR="00000000" w:rsidRPr="00000000">
              <w:rPr>
                <w:rFonts w:ascii="Arial" w:cs="Arial" w:eastAsia="Arial" w:hAnsi="Arial"/>
                <w:sz w:val="22"/>
                <w:szCs w:val="22"/>
                <w:rtl w:val="0"/>
              </w:rPr>
              <w:t xml:space="preserve">Lakukan monitoring berkala terhadap efektivitas pengobatan dan kepatuhan pasien.</w:t>
            </w:r>
          </w:p>
          <w:p w:rsidR="00000000" w:rsidDel="00000000" w:rsidP="00000000" w:rsidRDefault="00000000" w:rsidRPr="00000000" w14:paraId="00000072">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numPr>
                <w:ilvl w:val="1"/>
                <w:numId w:val="1"/>
              </w:numPr>
              <w:ind w:left="1440" w:hanging="360"/>
              <w:jc w:val="both"/>
              <w:rPr/>
            </w:pPr>
            <w:r w:rsidDel="00000000" w:rsidR="00000000" w:rsidRPr="00000000">
              <w:rPr>
                <w:rFonts w:ascii="Arial" w:cs="Arial" w:eastAsia="Arial" w:hAnsi="Arial"/>
                <w:sz w:val="22"/>
                <w:szCs w:val="22"/>
                <w:rtl w:val="0"/>
              </w:rPr>
              <w:t xml:space="preserve">Pastikan pasien kusta baru di input ke SITASIA agar bisa selalu bisa di pantau</w:t>
            </w:r>
          </w:p>
          <w:p w:rsidR="00000000" w:rsidDel="00000000" w:rsidP="00000000" w:rsidRDefault="00000000" w:rsidRPr="00000000" w14:paraId="00000074">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Koordinasi dan Kolaborasi:</w:t>
            </w:r>
            <w:r w:rsidDel="00000000" w:rsidR="00000000" w:rsidRPr="00000000">
              <w:rPr>
                <w:rtl w:val="0"/>
              </w:rPr>
            </w:r>
          </w:p>
          <w:p w:rsidR="00000000" w:rsidDel="00000000" w:rsidP="00000000" w:rsidRDefault="00000000" w:rsidRPr="00000000" w14:paraId="00000075">
            <w:pPr>
              <w:numPr>
                <w:ilvl w:val="1"/>
                <w:numId w:val="1"/>
              </w:numPr>
              <w:ind w:left="1440" w:hanging="360"/>
              <w:jc w:val="both"/>
              <w:rPr/>
            </w:pPr>
            <w:r w:rsidDel="00000000" w:rsidR="00000000" w:rsidRPr="00000000">
              <w:rPr>
                <w:rFonts w:ascii="Arial" w:cs="Arial" w:eastAsia="Arial" w:hAnsi="Arial"/>
                <w:sz w:val="22"/>
                <w:szCs w:val="22"/>
                <w:rtl w:val="0"/>
              </w:rPr>
              <w:t xml:space="preserve">Tingkatkan koordinasi antara program P2 Kusta dengan program kesehatan lainnya, seperti program KIA dan program penyakit menular lainnya.</w:t>
            </w:r>
          </w:p>
          <w:p w:rsidR="00000000" w:rsidDel="00000000" w:rsidP="00000000" w:rsidRDefault="00000000" w:rsidRPr="00000000" w14:paraId="00000076">
            <w:pPr>
              <w:numPr>
                <w:ilvl w:val="1"/>
                <w:numId w:val="1"/>
              </w:numPr>
              <w:ind w:left="1440" w:hanging="360"/>
              <w:jc w:val="both"/>
              <w:rPr/>
            </w:pPr>
            <w:r w:rsidDel="00000000" w:rsidR="00000000" w:rsidRPr="00000000">
              <w:rPr>
                <w:rFonts w:ascii="Arial" w:cs="Arial" w:eastAsia="Arial" w:hAnsi="Arial"/>
                <w:sz w:val="22"/>
                <w:szCs w:val="22"/>
                <w:rtl w:val="0"/>
              </w:rPr>
              <w:t xml:space="preserve">Jalin kolaborasi dengan organisasi masyarakat dan LSM yang peduli terhadap masalah kusta.</w:t>
            </w:r>
          </w:p>
          <w:p w:rsidR="00000000" w:rsidDel="00000000" w:rsidP="00000000" w:rsidRDefault="00000000" w:rsidRPr="00000000" w14:paraId="00000077">
            <w:pPr>
              <w:ind w:left="14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Rencana yang akan dilakukan pada TW 2 </w:t>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b040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22"/>
                <w:szCs w:val="22"/>
                <w:u w:val="none"/>
                <w:shd w:fill="auto" w:val="clear"/>
                <w:vertAlign w:val="baseline"/>
                <w:rtl w:val="0"/>
              </w:rPr>
              <w:t xml:space="preserve">Sosialisasi SITASIA via Zoom yang akan difasilitasi oleh Kabupaten / Kota</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b0402"/>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b0402"/>
                <w:sz w:val="22"/>
                <w:szCs w:val="22"/>
                <w:u w:val="none"/>
                <w:shd w:fill="auto" w:val="clear"/>
                <w:vertAlign w:val="baseline"/>
                <w:rtl w:val="0"/>
              </w:rPr>
              <w:t xml:space="preserve">Pelatihan P2 Kusta bagi petugas kusta puskesmas di kabupaten Padang Pariaman ( Dana DAK kab Padang Pariaman )</w:t>
            </w:r>
          </w:p>
          <w:p w:rsidR="00000000" w:rsidDel="00000000" w:rsidP="00000000" w:rsidRDefault="00000000" w:rsidRPr="00000000" w14:paraId="0000007B">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Kesimpulan</w:t>
            </w:r>
            <w:r w:rsidDel="00000000" w:rsidR="00000000" w:rsidRPr="00000000">
              <w:rPr>
                <w:rtl w:val="0"/>
              </w:rPr>
            </w:r>
          </w:p>
          <w:p w:rsidR="00000000" w:rsidDel="00000000" w:rsidP="00000000" w:rsidRDefault="00000000" w:rsidRPr="00000000" w14:paraId="0000007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Program P2 Kusta di Sumatera Barat telah menunjukkan hasil yang baik dalam hal pengobatan, namun masih ada beberapa area yang perlu ditingkatkan, terutama dalam hal deteksi dini, pencegahan cacat, dan program dukungan bagi pasien. Dengan melaksanakan rekomendasi di atas, diharapkan program P2 Kusta di Sumatera Barat dapat mencapai tujuan yang lebih baik dalam pengendalian kusta.</w:t>
            </w:r>
          </w:p>
          <w:p w:rsidR="00000000" w:rsidDel="00000000" w:rsidP="00000000" w:rsidRDefault="00000000" w:rsidRPr="00000000" w14:paraId="0000007E">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tc>
      </w:tr>
      <w:tr>
        <w:trPr>
          <w:cantSplit w:val="0"/>
          <w:trHeight w:val="10332" w:hRule="atLeast"/>
          <w:tblHeader w:val="0"/>
        </w:trPr>
        <w:tc>
          <w:tcPr>
            <w:vMerge w:val="continue"/>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right w:color="bf1e00" w:space="0" w:sz="18" w:val="single"/>
            </w:tcBorders>
          </w:tcPr>
          <w:p w:rsidR="00000000" w:rsidDel="00000000" w:rsidP="00000000" w:rsidRDefault="00000000" w:rsidRPr="00000000" w14:paraId="00000084">
            <w:pPr>
              <w:rPr/>
            </w:pPr>
            <w:r w:rsidDel="00000000" w:rsidR="00000000" w:rsidRPr="00000000">
              <w:rPr>
                <w:rtl w:val="0"/>
              </w:rPr>
            </w:r>
          </w:p>
        </w:tc>
        <w:tc>
          <w:tcPr>
            <w:tcBorders>
              <w:left w:color="bf1e00" w:space="0" w:sz="18" w:val="single"/>
            </w:tcBorders>
          </w:tcPr>
          <w:p w:rsidR="00000000" w:rsidDel="00000000" w:rsidP="00000000" w:rsidRDefault="00000000" w:rsidRPr="00000000" w14:paraId="00000085">
            <w:pPr>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10332" w:hRule="atLeast"/>
          <w:tblHeader w:val="0"/>
        </w:trPr>
        <w:tc>
          <w:tcPr/>
          <w:p w:rsidR="00000000" w:rsidDel="00000000" w:rsidP="00000000" w:rsidRDefault="00000000" w:rsidRPr="00000000" w14:paraId="00000087">
            <w:pPr>
              <w:pStyle w:val="Heading2"/>
              <w:rPr/>
            </w:pPr>
            <w:r w:rsidDel="00000000" w:rsidR="00000000" w:rsidRPr="00000000">
              <w:rPr>
                <w:rtl w:val="0"/>
              </w:rPr>
            </w:r>
          </w:p>
        </w:tc>
        <w:tc>
          <w:tcPr>
            <w:tcBorders>
              <w:right w:color="bf1e00" w:space="0" w:sz="18" w:val="single"/>
            </w:tcBorders>
          </w:tcPr>
          <w:p w:rsidR="00000000" w:rsidDel="00000000" w:rsidP="00000000" w:rsidRDefault="00000000" w:rsidRPr="00000000" w14:paraId="00000088">
            <w:pPr>
              <w:rPr/>
            </w:pPr>
            <w:r w:rsidDel="00000000" w:rsidR="00000000" w:rsidRPr="00000000">
              <w:rPr>
                <w:rtl w:val="0"/>
              </w:rPr>
            </w:r>
          </w:p>
        </w:tc>
        <w:tc>
          <w:tcPr>
            <w:tcBorders>
              <w:left w:color="bf1e00" w:space="0" w:sz="18" w:val="single"/>
            </w:tcBorders>
          </w:tcPr>
          <w:p w:rsidR="00000000" w:rsidDel="00000000" w:rsidP="00000000" w:rsidRDefault="00000000" w:rsidRPr="00000000" w14:paraId="00000089">
            <w:pPr>
              <w:rPr/>
            </w:pPr>
            <w:r w:rsidDel="00000000" w:rsidR="00000000" w:rsidRPr="00000000">
              <w:rPr>
                <w:rtl w:val="0"/>
              </w:rPr>
            </w:r>
          </w:p>
        </w:tc>
        <w:tc>
          <w:tcPr/>
          <w:p w:rsidR="00000000" w:rsidDel="00000000" w:rsidP="00000000" w:rsidRDefault="00000000" w:rsidRPr="00000000" w14:paraId="0000008A">
            <w:pPr>
              <w:pStyle w:val="Heading2"/>
              <w:rPr/>
            </w:pPr>
            <w:r w:rsidDel="00000000" w:rsidR="00000000" w:rsidRPr="00000000">
              <w:rPr>
                <w:rtl w:val="0"/>
              </w:rPr>
            </w:r>
          </w:p>
        </w:tc>
      </w:tr>
    </w:tbl>
    <w:p w:rsidR="00000000" w:rsidDel="00000000" w:rsidP="00000000" w:rsidRDefault="00000000" w:rsidRPr="00000000" w14:paraId="0000008B">
      <w:pPr>
        <w:rPr/>
      </w:pPr>
      <w:r w:rsidDel="00000000" w:rsidR="00000000" w:rsidRPr="00000000">
        <w:rPr>
          <w:rtl w:val="0"/>
        </w:rPr>
      </w:r>
    </w:p>
    <w:sectPr>
      <w:pgSz w:h="15840" w:w="12240" w:orient="portrait"/>
      <w:pgMar w:bottom="0" w:top="900" w:left="1080" w:right="1080" w:header="576"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DLaM Display">
    <w:embedRegular w:fontKey="{00000000-0000-0000-0000-000000000000}" r:id="rId1" w:subsetted="0"/>
  </w:font>
  <w:font w:name="Teko">
    <w:embedRegular w:fontKey="{00000000-0000-0000-0000-000000000000}" r:id="rId2" w:subsetted="0"/>
    <w:embedBold w:fontKey="{00000000-0000-0000-0000-000000000000}" r:id="rId3" w:subsetted="0"/>
  </w:font>
  <w:font w:name="Noto Sans Symbols">
    <w:embedRegular w:fontKey="{00000000-0000-0000-0000-000000000000}" r:id="rId4" w:subsetted="0"/>
    <w:embedBold w:fontKey="{00000000-0000-0000-0000-000000000000}" r:id="rId5" w:subsetted="0"/>
  </w:font>
  <w:font w:name="Gill Sans">
    <w:embedRegular w:fontKey="{00000000-0000-0000-0000-000000000000}" r:id="rId6" w:subsetted="0"/>
    <w:embedBold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color w:val="0b0402"/>
        <w:lang w:val="s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lineRule="auto"/>
    </w:pPr>
    <w:rPr>
      <w:rFonts w:ascii="Teko" w:cs="Teko" w:eastAsia="Teko" w:hAnsi="Teko"/>
      <w:smallCaps w:val="1"/>
      <w:color w:val="bf1e00"/>
      <w:sz w:val="28"/>
      <w:szCs w:val="28"/>
    </w:rPr>
  </w:style>
  <w:style w:type="paragraph" w:styleId="Heading2">
    <w:name w:val="heading 2"/>
    <w:basedOn w:val="Normal"/>
    <w:next w:val="Normal"/>
    <w:pPr>
      <w:spacing w:after="240" w:lineRule="auto"/>
    </w:pPr>
    <w:rPr>
      <w:rFonts w:ascii="Teko" w:cs="Teko" w:eastAsia="Teko" w:hAnsi="Teko"/>
      <w:smallCaps w:val="1"/>
      <w:color w:val="bf1e00"/>
      <w:sz w:val="28"/>
      <w:szCs w:val="28"/>
    </w:rPr>
  </w:style>
  <w:style w:type="paragraph" w:styleId="Heading3">
    <w:name w:val="heading 3"/>
    <w:basedOn w:val="Normal"/>
    <w:next w:val="Normal"/>
    <w:pPr/>
    <w:rPr>
      <w:rFonts w:ascii="Teko" w:cs="Teko" w:eastAsia="Teko" w:hAnsi="Teko"/>
      <w:smallCaps w:val="1"/>
      <w:color w:val="bf1e00"/>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rPr>
      <w:rFonts w:ascii="Teko" w:cs="Teko" w:eastAsia="Teko" w:hAnsi="Teko"/>
      <w:smallCaps w:val="1"/>
      <w:color w:val="bf1e00"/>
      <w:sz w:val="96"/>
      <w:szCs w:val="96"/>
    </w:rPr>
  </w:style>
  <w:style w:type="paragraph" w:styleId="Subtitle">
    <w:name w:val="Subtitle"/>
    <w:basedOn w:val="Normal"/>
    <w:next w:val="Normal"/>
    <w:pPr>
      <w:spacing w:after="160" w:lineRule="auto"/>
    </w:pPr>
    <w:rPr>
      <w:color w:val="bf1e00"/>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4.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3.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ADLaMDisplay-regular.ttf"/><Relationship Id="rId2" Type="http://schemas.openxmlformats.org/officeDocument/2006/relationships/font" Target="fonts/Teko-regular.ttf"/><Relationship Id="rId3" Type="http://schemas.openxmlformats.org/officeDocument/2006/relationships/font" Target="fonts/Teko-bold.ttf"/><Relationship Id="rId4" Type="http://schemas.openxmlformats.org/officeDocument/2006/relationships/font" Target="fonts/NotoSansSymbols-regular.ttf"/><Relationship Id="rId5" Type="http://schemas.openxmlformats.org/officeDocument/2006/relationships/font" Target="fonts/NotoSansSymbols-bold.ttf"/><Relationship Id="rId6" Type="http://schemas.openxmlformats.org/officeDocument/2006/relationships/font" Target="fonts/GillSans-regular.ttf"/><Relationship Id="rId7"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1ef215ca-eb45-4ae3-8d93-f53b41ac6e3d</vt:lpwstr>
  </property>
</Properties>
</file>