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5958C"/>
    <w:tbl>
      <w:tblPr>
        <w:tblStyle w:val="4"/>
        <w:tblW w:w="7560" w:type="dxa"/>
        <w:tblInd w:w="648" w:type="dxa"/>
        <w:tblBorders>
          <w:top w:val="thinThickThinSmallGap" w:color="843C0B" w:themeColor="accent2" w:themeShade="80" w:sz="24" w:space="0"/>
          <w:left w:val="thinThickThinSmallGap" w:color="843C0B" w:themeColor="accent2" w:themeShade="80" w:sz="24" w:space="0"/>
          <w:bottom w:val="thinThickThinSmallGap" w:color="843C0B" w:themeColor="accent2" w:themeShade="80" w:sz="24" w:space="0"/>
          <w:right w:val="thinThickThinSmallGap" w:color="843C0B" w:themeColor="accent2" w:themeShade="80" w:sz="24" w:space="0"/>
          <w:insideH w:val="thinThickThinSmallGap" w:color="843C0B" w:themeColor="accent2" w:themeShade="80" w:sz="24" w:space="0"/>
          <w:insideV w:val="thinThickThinSmallGap" w:color="843C0B" w:themeColor="accent2" w:themeShade="80" w:sz="2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0"/>
      </w:tblGrid>
      <w:tr w14:paraId="3592A40A">
        <w:tblPrEx>
          <w:tblBorders>
            <w:top w:val="thinThickThinSmallGap" w:color="843C0B" w:themeColor="accent2" w:themeShade="80" w:sz="24" w:space="0"/>
            <w:left w:val="thinThickThinSmallGap" w:color="843C0B" w:themeColor="accent2" w:themeShade="80" w:sz="24" w:space="0"/>
            <w:bottom w:val="thinThickThinSmallGap" w:color="843C0B" w:themeColor="accent2" w:themeShade="80" w:sz="24" w:space="0"/>
            <w:right w:val="thinThickThinSmallGap" w:color="843C0B" w:themeColor="accent2" w:themeShade="80" w:sz="24" w:space="0"/>
            <w:insideH w:val="thinThickThinSmallGap" w:color="843C0B" w:themeColor="accent2" w:themeShade="80" w:sz="24" w:space="0"/>
            <w:insideV w:val="thinThickThinSmallGap" w:color="843C0B" w:themeColor="accent2" w:themeShade="80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60" w:type="dxa"/>
            <w:shd w:val="clear" w:color="auto" w:fill="FBE4D5" w:themeFill="accent2" w:themeFillTint="33"/>
          </w:tcPr>
          <w:p w14:paraId="00AB9280">
            <w:pPr>
              <w:spacing w:after="0" w:line="24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</w:p>
          <w:p w14:paraId="02182B3A">
            <w:pPr>
              <w:spacing w:after="0" w:line="24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</w:p>
          <w:p w14:paraId="72043662">
            <w:pPr>
              <w:spacing w:after="0" w:line="240" w:lineRule="auto"/>
              <w:jc w:val="center"/>
              <w:rPr>
                <w:rFonts w:cstheme="minorHAnsi"/>
                <w:b/>
                <w:i/>
                <w:color w:val="C00000"/>
                <w:sz w:val="24"/>
                <w:szCs w:val="24"/>
              </w:rPr>
            </w:pPr>
            <w:r>
              <w:rPr>
                <w:rFonts w:cstheme="minorHAnsi"/>
                <w:b/>
                <w:i/>
                <w:color w:val="C00000"/>
                <w:sz w:val="24"/>
                <w:szCs w:val="24"/>
              </w:rPr>
              <w:t>ALASAN PENOLAKAN INFORMASI PUBLIK</w:t>
            </w:r>
          </w:p>
          <w:p w14:paraId="0DAB06D1">
            <w:pPr>
              <w:spacing w:after="0" w:line="24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</w:p>
          <w:p w14:paraId="673A31D4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342"/>
              <w:rPr>
                <w:rFonts w:eastAsia="Times New Roman" w:cstheme="minorHAnsi"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i/>
                <w:sz w:val="24"/>
                <w:szCs w:val="24"/>
              </w:rPr>
              <w:t>Permohonan informasi tidak  memberikan data identitas dengan  jelas.</w:t>
            </w:r>
          </w:p>
          <w:p w14:paraId="1924A6F1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342"/>
              <w:rPr>
                <w:rFonts w:eastAsia="Times New Roman" w:cstheme="minorHAnsi"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i/>
                <w:sz w:val="24"/>
                <w:szCs w:val="24"/>
              </w:rPr>
              <w:t>Permintaan informasi untuk kepentingan yang tidak jelas</w:t>
            </w:r>
          </w:p>
          <w:p w14:paraId="5470E51B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342"/>
              <w:rPr>
                <w:rFonts w:eastAsia="Times New Roman" w:cstheme="minorHAnsi"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i/>
                <w:sz w:val="24"/>
                <w:szCs w:val="24"/>
              </w:rPr>
              <w:t>Penolakan  atas substansi,  yakni  menolak  memberikan  informasi  yang  dikecualikan oleh  UU  KIP atau  perundang-undangan lainnya</w:t>
            </w:r>
          </w:p>
          <w:p w14:paraId="459F09C6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342"/>
              <w:rPr>
                <w:rFonts w:eastAsia="Times New Roman" w:cstheme="minorHAnsi"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i/>
                <w:sz w:val="24"/>
                <w:szCs w:val="24"/>
              </w:rPr>
              <w:t>Penolakan  atas  prosedur   yakni  menolak  memberikan  informasi  apabila Pemohon infomasi  tidak mematuhi ketentuan yang diatur dalam peruridang-undangan</w:t>
            </w:r>
          </w:p>
          <w:p w14:paraId="04540B03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342"/>
              <w:rPr>
                <w:rFonts w:eastAsia="Times New Roman" w:cstheme="minorHAnsi"/>
                <w:i/>
                <w:color w:val="FF0000"/>
                <w:sz w:val="24"/>
                <w:szCs w:val="24"/>
                <w:highlight w:val="none"/>
              </w:rPr>
            </w:pPr>
            <w:r>
              <w:rPr>
                <w:rFonts w:eastAsia="Times New Roman" w:cstheme="minorHAnsi"/>
                <w:i/>
                <w:color w:val="FF0000"/>
                <w:sz w:val="24"/>
                <w:szCs w:val="24"/>
                <w:highlight w:val="none"/>
              </w:rPr>
              <w:t>Badan Publik tidak  menguasai/memiliki/menyimpan  informasi publik yang dimohonkan  oleh  Pemohon Informasi</w:t>
            </w:r>
          </w:p>
          <w:p w14:paraId="1D7746F4">
            <w:pPr>
              <w:pStyle w:val="5"/>
              <w:numPr>
                <w:ilvl w:val="0"/>
                <w:numId w:val="1"/>
              </w:numPr>
              <w:spacing w:after="0" w:line="240" w:lineRule="auto"/>
              <w:ind w:left="342"/>
              <w:rPr>
                <w:rFonts w:eastAsia="Times New Roman" w:cstheme="minorHAnsi"/>
                <w:i/>
                <w:sz w:val="24"/>
                <w:szCs w:val="24"/>
              </w:rPr>
            </w:pPr>
            <w:r>
              <w:rPr>
                <w:rFonts w:eastAsia="Times New Roman" w:cstheme="minorHAnsi"/>
                <w:i/>
                <w:sz w:val="24"/>
                <w:szCs w:val="24"/>
              </w:rPr>
              <w:t xml:space="preserve">Informasi  Publik  yang   diminta  belum </w:t>
            </w:r>
            <w:r>
              <w:rPr>
                <w:rFonts w:eastAsia="Times New Roman" w:cstheme="minorHAnsi"/>
                <w:i/>
                <w:color w:val="0E0E0E"/>
                <w:sz w:val="24"/>
                <w:szCs w:val="24"/>
              </w:rPr>
              <w:t xml:space="preserve">dikuasai  </w:t>
            </w:r>
            <w:r>
              <w:rPr>
                <w:rFonts w:eastAsia="Times New Roman" w:cstheme="minorHAnsi"/>
                <w:i/>
                <w:sz w:val="24"/>
                <w:szCs w:val="24"/>
              </w:rPr>
              <w:t>atau didokumentasikan oleh Badan Publik</w:t>
            </w: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br w:type="textWrapping"/>
            </w:r>
          </w:p>
          <w:p w14:paraId="5ACFBA97">
            <w:pPr>
              <w:pStyle w:val="5"/>
              <w:spacing w:after="0" w:line="240" w:lineRule="auto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  <w:bookmarkStart w:id="0" w:name="_GoBack"/>
            <w:bookmarkEnd w:id="0"/>
          </w:p>
          <w:p w14:paraId="4E71C04C">
            <w:pPr>
              <w:spacing w:after="0" w:line="240" w:lineRule="auto"/>
              <w:ind w:firstLine="360"/>
              <w:rPr>
                <w:rFonts w:ascii="Times New Roman" w:hAnsi="Times New Roman" w:eastAsia="Times New Roman" w:cs="Times New Roman"/>
                <w:sz w:val="13"/>
                <w:szCs w:val="13"/>
              </w:rPr>
            </w:pPr>
          </w:p>
          <w:p w14:paraId="47A39484">
            <w:pPr>
              <w:spacing w:after="0" w:line="240" w:lineRule="auto"/>
              <w:ind w:left="720" w:hanging="360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13"/>
                <w:szCs w:val="13"/>
              </w:rPr>
              <w:br w:type="textWrapping"/>
            </w:r>
          </w:p>
          <w:p w14:paraId="1E68B83D">
            <w:pPr>
              <w:spacing w:after="0" w:line="24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</w:tr>
    </w:tbl>
    <w:p w14:paraId="52202C0B">
      <w:pPr>
        <w:jc w:val="center"/>
        <w:rPr>
          <w:rFonts w:cstheme="minorHAnsi"/>
          <w:i/>
          <w:sz w:val="24"/>
          <w:szCs w:val="24"/>
        </w:rPr>
      </w:pPr>
    </w:p>
    <w:p w14:paraId="710BF497">
      <w:pPr>
        <w:spacing w:after="0" w:line="240" w:lineRule="auto"/>
        <w:ind w:firstLine="360"/>
        <w:rPr>
          <w:rFonts w:ascii="Times New Roman" w:hAnsi="Times New Roman" w:eastAsia="Times New Roman" w:cs="Times New Roman"/>
          <w:sz w:val="13"/>
          <w:szCs w:val="13"/>
        </w:rPr>
      </w:pPr>
    </w:p>
    <w:p w14:paraId="2DEC4802">
      <w:pPr>
        <w:spacing w:after="0" w:line="240" w:lineRule="auto"/>
        <w:ind w:left="720" w:hanging="360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sz w:val="13"/>
          <w:szCs w:val="13"/>
        </w:rPr>
        <w:br w:type="textWrapping"/>
      </w:r>
    </w:p>
    <w:p w14:paraId="6D6F491D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000000"/>
          <w:sz w:val="20"/>
          <w:szCs w:val="20"/>
        </w:rPr>
      </w:pPr>
      <w:r>
        <w:rPr>
          <w:rFonts w:ascii="Times New Roman" w:hAnsi="Times New Roman" w:eastAsia="Times New Roman" w:cs="Times New Roman"/>
          <w:sz w:val="13"/>
          <w:szCs w:val="13"/>
        </w:rPr>
        <w:br w:type="textWrapping"/>
      </w:r>
    </w:p>
    <w:p w14:paraId="1B9B7606">
      <w:pPr>
        <w:spacing w:after="0" w:line="240" w:lineRule="auto"/>
        <w:ind w:firstLine="360"/>
        <w:rPr>
          <w:rFonts w:ascii="Times New Roman" w:hAnsi="Times New Roman" w:eastAsia="Times New Roman" w:cs="Times New Roman"/>
          <w:sz w:val="11"/>
          <w:szCs w:val="11"/>
        </w:rPr>
      </w:pPr>
    </w:p>
    <w:p w14:paraId="709DF47C"/>
    <w:sectPr>
      <w:type w:val="continuous"/>
      <w:pgSz w:w="10080" w:h="12260"/>
      <w:pgMar w:top="1140" w:right="780" w:bottom="274" w:left="720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3706CF"/>
    <w:multiLevelType w:val="multilevel"/>
    <w:tmpl w:val="4D3706C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cumentProtection w:enforcement="0"/>
  <w:defaultTabStop w:val="720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3C7"/>
    <w:rsid w:val="0027326F"/>
    <w:rsid w:val="002B331A"/>
    <w:rsid w:val="003C142D"/>
    <w:rsid w:val="006A25E3"/>
    <w:rsid w:val="007013D9"/>
    <w:rsid w:val="008113C7"/>
    <w:rsid w:val="0090113F"/>
    <w:rsid w:val="009A44DD"/>
    <w:rsid w:val="00D41B12"/>
    <w:rsid w:val="5F420D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543</Characters>
  <Lines>4</Lines>
  <Paragraphs>1</Paragraphs>
  <TotalTime>341</TotalTime>
  <ScaleCrop>false</ScaleCrop>
  <LinksUpToDate>false</LinksUpToDate>
  <CharactersWithSpaces>640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2025-08-01T03:31:00Z</dcterms:created>
  <dc:creator>lenovo</dc:creator>
  <cp:lastModifiedBy>lenovo</cp:lastModifiedBy>
  <dcterms:modified xsi:type="dcterms:W3CDTF">2026-07-01T04:57:19Z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eyJoZGlkIjoiMGNhZTZiMDNkYjM2ZDk3MDBlMjlhMzU3YTA4Mzk5ZTUifQ==</vt:lpwstr>
  </property>
  <property fmtid="{D5CDD505-2E9C-101B-9397-08002B2CF9AE}" pid="3" name="KSOProductBuildVer">
    <vt:lpwstr>1033-12.1.0.26880</vt:lpwstr>
  </property>
  <property fmtid="{D5CDD505-2E9C-101B-9397-08002B2CF9AE}" pid="4" name="ICV">
    <vt:lpwstr>39D2DD81A4ED4A70A290D95087418525_13</vt:lpwstr>
  </property>
</Properties>
</file>