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asciiTheme="majorHAnsi" w:hAnsiTheme="majorHAnsi"/>
          <w:b/>
          <w:sz w:val="24"/>
          <w:szCs w:val="24"/>
        </w:rPr>
      </w:pPr>
      <w:r>
        <w:rPr>
          <w:rFonts w:asciiTheme="majorHAnsi" w:hAnsiTheme="majorHAnsi"/>
          <w:b/>
          <w:sz w:val="24"/>
          <w:szCs w:val="24"/>
        </w:rPr>
        <w:t>PERJANJIAN KINERJA</w:t>
      </w:r>
    </w:p>
    <w:p>
      <w:pPr>
        <w:rPr>
          <w:rFonts w:asciiTheme="majorHAnsi" w:hAnsiTheme="majorHAnsi"/>
          <w:b/>
          <w:sz w:val="24"/>
          <w:szCs w:val="24"/>
        </w:rPr>
      </w:pPr>
      <w:r>
        <w:rPr>
          <w:rFonts w:asciiTheme="majorHAnsi" w:hAnsiTheme="majorHAnsi"/>
          <w:b/>
          <w:sz w:val="24"/>
          <w:szCs w:val="24"/>
        </w:rPr>
        <w:t>OPD</w:t>
      </w:r>
      <w:r>
        <w:rPr>
          <w:rFonts w:asciiTheme="majorHAnsi" w:hAnsiTheme="majorHAnsi"/>
          <w:b/>
          <w:sz w:val="24"/>
          <w:szCs w:val="24"/>
        </w:rPr>
        <w:tab/>
      </w:r>
      <w:r>
        <w:rPr>
          <w:rFonts w:asciiTheme="majorHAnsi" w:hAnsiTheme="majorHAnsi"/>
          <w:b/>
          <w:sz w:val="24"/>
          <w:szCs w:val="24"/>
        </w:rPr>
        <w:t xml:space="preserve"> : BADAN KESATUAN BANGSA DAN POLITIK PROVINSI SUMATERA BARAT</w:t>
      </w:r>
    </w:p>
    <w:p>
      <w:pPr>
        <w:rPr>
          <w:rFonts w:asciiTheme="majorHAnsi" w:hAnsiTheme="majorHAnsi"/>
          <w:b/>
          <w:sz w:val="24"/>
          <w:szCs w:val="24"/>
        </w:rPr>
      </w:pPr>
      <w:r>
        <w:rPr>
          <w:rFonts w:asciiTheme="majorHAnsi" w:hAnsiTheme="majorHAnsi"/>
          <w:b/>
          <w:sz w:val="24"/>
          <w:szCs w:val="24"/>
        </w:rPr>
        <w:t>TAHUN: 2019</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3"/>
        <w:gridCol w:w="340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No</w:t>
            </w:r>
          </w:p>
        </w:tc>
        <w:tc>
          <w:tcPr>
            <w:tcW w:w="4113"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Sasaran Strategis</w:t>
            </w:r>
          </w:p>
        </w:tc>
        <w:tc>
          <w:tcPr>
            <w:tcW w:w="3400"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Idikator Kinerja</w:t>
            </w:r>
          </w:p>
        </w:tc>
        <w:tc>
          <w:tcPr>
            <w:tcW w:w="1276"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1</w:t>
            </w:r>
          </w:p>
        </w:tc>
        <w:tc>
          <w:tcPr>
            <w:tcW w:w="4113"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2</w:t>
            </w:r>
          </w:p>
        </w:tc>
        <w:tc>
          <w:tcPr>
            <w:tcW w:w="3400"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3</w:t>
            </w:r>
          </w:p>
        </w:tc>
        <w:tc>
          <w:tcPr>
            <w:tcW w:w="1276" w:type="dxa"/>
          </w:tcPr>
          <w:p>
            <w:pPr>
              <w:spacing w:after="0" w:line="240" w:lineRule="auto"/>
              <w:jc w:val="center"/>
              <w:rPr>
                <w:rFonts w:cs="Arial" w:asciiTheme="majorHAnsi" w:hAnsiTheme="majorHAnsi"/>
                <w:b/>
                <w:sz w:val="24"/>
                <w:szCs w:val="24"/>
              </w:rPr>
            </w:pPr>
            <w:r>
              <w:rPr>
                <w:rFonts w:cs="Arial" w:asciiTheme="majorHAnsi" w:hAnsiTheme="majorHAnsi"/>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after="0" w:line="240" w:lineRule="auto"/>
              <w:jc w:val="center"/>
              <w:rPr>
                <w:rFonts w:cs="Arial" w:asciiTheme="majorHAnsi" w:hAnsiTheme="majorHAnsi"/>
              </w:rPr>
            </w:pPr>
            <w:r>
              <w:rPr>
                <w:rFonts w:cs="Arial" w:asciiTheme="majorHAnsi" w:hAnsiTheme="majorHAnsi"/>
              </w:rPr>
              <w:t>1</w:t>
            </w:r>
          </w:p>
        </w:tc>
        <w:tc>
          <w:tcPr>
            <w:tcW w:w="4113" w:type="dxa"/>
          </w:tcPr>
          <w:p>
            <w:pPr>
              <w:spacing w:after="0" w:line="240" w:lineRule="auto"/>
              <w:rPr>
                <w:rFonts w:cs="Arial" w:asciiTheme="majorHAnsi" w:hAnsiTheme="majorHAnsi"/>
              </w:rPr>
            </w:pPr>
            <w:r>
              <w:rPr>
                <w:rFonts w:asciiTheme="majorHAnsi" w:hAnsiTheme="majorHAnsi"/>
                <w:color w:val="000000" w:themeColor="text1"/>
                <w14:textFill>
                  <w14:solidFill>
                    <w14:schemeClr w14:val="tx1"/>
                  </w14:solidFill>
                </w14:textFill>
              </w:rPr>
              <w:t>Meningkatnya tata kelola organisasi</w:t>
            </w:r>
          </w:p>
        </w:tc>
        <w:tc>
          <w:tcPr>
            <w:tcW w:w="3400" w:type="dxa"/>
          </w:tcPr>
          <w:p>
            <w:pPr>
              <w:pStyle w:val="6"/>
              <w:numPr>
                <w:ilvl w:val="0"/>
                <w:numId w:val="1"/>
              </w:numPr>
              <w:ind w:left="315"/>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Nilai Evaluasi Akuntabilitas Kinerja</w:t>
            </w:r>
          </w:p>
          <w:p>
            <w:pPr>
              <w:pStyle w:val="6"/>
              <w:numPr>
                <w:ilvl w:val="0"/>
                <w:numId w:val="1"/>
              </w:numPr>
              <w:ind w:left="315"/>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Persentase capaian realisasi fisik dan keuangan pelaksanaan program/kegitan</w:t>
            </w:r>
          </w:p>
          <w:p>
            <w:pPr>
              <w:spacing w:after="0" w:line="240" w:lineRule="auto"/>
              <w:rPr>
                <w:rFonts w:cs="Arial" w:asciiTheme="majorHAnsi" w:hAnsiTheme="majorHAnsi"/>
              </w:rPr>
            </w:pPr>
          </w:p>
        </w:tc>
        <w:tc>
          <w:tcPr>
            <w:tcW w:w="1276" w:type="dxa"/>
          </w:tcPr>
          <w:p>
            <w:pPr>
              <w:spacing w:after="0" w:line="240" w:lineRule="auto"/>
              <w:jc w:val="center"/>
              <w:rPr>
                <w:rFonts w:cs="Arial" w:asciiTheme="majorHAnsi" w:hAnsiTheme="majorHAnsi"/>
              </w:rPr>
            </w:pPr>
            <w:r>
              <w:rPr>
                <w:rFonts w:cs="Arial" w:asciiTheme="majorHAnsi" w:hAnsiTheme="majorHAnsi"/>
              </w:rPr>
              <w:t>BB</w:t>
            </w:r>
          </w:p>
          <w:p>
            <w:pPr>
              <w:spacing w:after="0" w:line="240" w:lineRule="auto"/>
              <w:jc w:val="center"/>
              <w:rPr>
                <w:rFonts w:cs="Arial" w:asciiTheme="majorHAnsi" w:hAnsiTheme="majorHAnsi"/>
              </w:rPr>
            </w:pPr>
          </w:p>
          <w:p>
            <w:pPr>
              <w:spacing w:after="0" w:line="240" w:lineRule="auto"/>
              <w:jc w:val="center"/>
              <w:rPr>
                <w:rFonts w:cs="Arial" w:asciiTheme="majorHAnsi" w:hAnsiTheme="majorHAnsi"/>
              </w:rPr>
            </w:pPr>
            <w:r>
              <w:rPr>
                <w:rFonts w:cs="Arial" w:asciiTheme="majorHAnsi" w:hAnsiTheme="majorHAnsi"/>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75" w:type="dxa"/>
          </w:tcPr>
          <w:p>
            <w:pPr>
              <w:spacing w:after="0" w:line="240" w:lineRule="auto"/>
              <w:jc w:val="center"/>
              <w:rPr>
                <w:rFonts w:cs="Arial" w:asciiTheme="majorHAnsi" w:hAnsiTheme="majorHAnsi"/>
              </w:rPr>
            </w:pPr>
            <w:r>
              <w:rPr>
                <w:rFonts w:cs="Arial" w:asciiTheme="majorHAnsi" w:hAnsiTheme="majorHAnsi"/>
              </w:rPr>
              <w:t>2</w:t>
            </w:r>
          </w:p>
        </w:tc>
        <w:tc>
          <w:tcPr>
            <w:tcW w:w="4113" w:type="dxa"/>
          </w:tcPr>
          <w:p>
            <w:pPr>
              <w:pStyle w:val="6"/>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Meningkatnya keamanan, ketentraman dan ketertiban masyarakat</w:t>
            </w:r>
          </w:p>
          <w:p>
            <w:pPr>
              <w:spacing w:after="0" w:line="240" w:lineRule="auto"/>
              <w:rPr>
                <w:rFonts w:cs="Arial" w:asciiTheme="majorHAnsi" w:hAnsiTheme="majorHAnsi"/>
                <w:color w:val="000000" w:themeColor="text1"/>
                <w14:textFill>
                  <w14:solidFill>
                    <w14:schemeClr w14:val="tx1"/>
                  </w14:solidFill>
                </w14:textFill>
              </w:rPr>
            </w:pPr>
          </w:p>
        </w:tc>
        <w:tc>
          <w:tcPr>
            <w:tcW w:w="3400" w:type="dxa"/>
          </w:tcPr>
          <w:p>
            <w:pPr>
              <w:pStyle w:val="6"/>
              <w:numPr>
                <w:ilvl w:val="0"/>
                <w:numId w:val="2"/>
              </w:numPr>
              <w:ind w:left="315"/>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Persentase penurunan konflik sosial di Sumbar</w:t>
            </w:r>
          </w:p>
          <w:p>
            <w:pPr>
              <w:pStyle w:val="6"/>
              <w:numPr>
                <w:ilvl w:val="0"/>
                <w:numId w:val="2"/>
              </w:numPr>
              <w:ind w:left="315"/>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Persentase penurunan angka kriminalitas di Sumbar</w:t>
            </w:r>
          </w:p>
          <w:p>
            <w:pPr>
              <w:spacing w:after="0" w:line="240" w:lineRule="auto"/>
              <w:rPr>
                <w:rFonts w:cs="Arial" w:asciiTheme="majorHAnsi" w:hAnsiTheme="majorHAnsi"/>
                <w:color w:val="000000" w:themeColor="text1"/>
                <w14:textFill>
                  <w14:solidFill>
                    <w14:schemeClr w14:val="tx1"/>
                  </w14:solidFill>
                </w14:textFill>
              </w:rPr>
            </w:pPr>
          </w:p>
        </w:tc>
        <w:tc>
          <w:tcPr>
            <w:tcW w:w="1276" w:type="dxa"/>
          </w:tcPr>
          <w:p>
            <w:pPr>
              <w:spacing w:after="0" w:line="240" w:lineRule="auto"/>
              <w:jc w:val="center"/>
              <w:rPr>
                <w:rFonts w:cs="Arial" w:asciiTheme="majorHAnsi" w:hAnsiTheme="majorHAnsi"/>
              </w:rPr>
            </w:pPr>
            <w:r>
              <w:rPr>
                <w:rFonts w:cs="Arial" w:asciiTheme="majorHAnsi" w:hAnsiTheme="majorHAnsi"/>
              </w:rPr>
              <w:t>5%</w:t>
            </w:r>
          </w:p>
          <w:p>
            <w:pPr>
              <w:spacing w:after="0" w:line="240" w:lineRule="auto"/>
              <w:jc w:val="center"/>
              <w:rPr>
                <w:rFonts w:cs="Arial" w:asciiTheme="majorHAnsi" w:hAnsiTheme="majorHAnsi"/>
              </w:rPr>
            </w:pPr>
          </w:p>
          <w:p>
            <w:pPr>
              <w:spacing w:after="0" w:line="240" w:lineRule="auto"/>
              <w:jc w:val="center"/>
              <w:rPr>
                <w:rFonts w:cs="Arial" w:asciiTheme="majorHAnsi" w:hAnsiTheme="majorHAnsi"/>
              </w:rPr>
            </w:pPr>
            <w:r>
              <w:rPr>
                <w:rFonts w:cs="Arial" w:asciiTheme="majorHAnsi" w:hAnsiTheme="majorHAnsi"/>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after="0" w:line="240" w:lineRule="auto"/>
              <w:jc w:val="center"/>
              <w:rPr>
                <w:rFonts w:cs="Arial" w:asciiTheme="majorHAnsi" w:hAnsiTheme="majorHAnsi"/>
              </w:rPr>
            </w:pPr>
            <w:r>
              <w:rPr>
                <w:rFonts w:cs="Arial" w:asciiTheme="majorHAnsi" w:hAnsiTheme="majorHAnsi"/>
              </w:rPr>
              <w:t>3</w:t>
            </w:r>
          </w:p>
        </w:tc>
        <w:tc>
          <w:tcPr>
            <w:tcW w:w="4113" w:type="dxa"/>
          </w:tcPr>
          <w:p>
            <w:pPr>
              <w:pStyle w:val="6"/>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Meningkatnya kualitas demokrasi di Sumatera Barat</w:t>
            </w:r>
          </w:p>
          <w:p>
            <w:pPr>
              <w:pStyle w:val="6"/>
              <w:rPr>
                <w:rFonts w:asciiTheme="majorHAnsi" w:hAnsiTheme="majorHAnsi"/>
                <w:color w:val="000000" w:themeColor="text1"/>
                <w14:textFill>
                  <w14:solidFill>
                    <w14:schemeClr w14:val="tx1"/>
                  </w14:solidFill>
                </w14:textFill>
              </w:rPr>
            </w:pPr>
          </w:p>
        </w:tc>
        <w:tc>
          <w:tcPr>
            <w:tcW w:w="3400" w:type="dxa"/>
          </w:tcPr>
          <w:p>
            <w:pPr>
              <w:pStyle w:val="6"/>
              <w:rPr>
                <w:rFonts w:cs="Arial"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Nilai Indeks Demokrasi Indonesia (IDI)di Sumbar</w:t>
            </w:r>
          </w:p>
        </w:tc>
        <w:tc>
          <w:tcPr>
            <w:tcW w:w="1276" w:type="dxa"/>
          </w:tcPr>
          <w:p>
            <w:pPr>
              <w:spacing w:after="0" w:line="240" w:lineRule="auto"/>
              <w:jc w:val="center"/>
              <w:rPr>
                <w:rFonts w:cs="Arial" w:asciiTheme="majorHAnsi" w:hAnsiTheme="majorHAnsi"/>
              </w:rPr>
            </w:pPr>
            <w:r>
              <w:rPr>
                <w:rFonts w:cs="Arial" w:asciiTheme="majorHAnsi" w:hAnsiTheme="majorHAnsi"/>
              </w:rPr>
              <w:t>72</w:t>
            </w:r>
          </w:p>
        </w:tc>
      </w:tr>
    </w:tbl>
    <w:p>
      <w:pPr>
        <w:rPr>
          <w:rFonts w:asciiTheme="majorHAnsi" w:hAnsiTheme="majorHAnsi"/>
        </w:rPr>
      </w:pPr>
    </w:p>
    <w:tbl>
      <w:tblPr>
        <w:tblStyle w:val="5"/>
        <w:tblW w:w="103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10"/>
        <w:gridCol w:w="20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b/>
                <w:sz w:val="24"/>
                <w:szCs w:val="24"/>
              </w:rPr>
            </w:pPr>
            <w:r>
              <w:rPr>
                <w:rFonts w:asciiTheme="majorHAnsi" w:hAnsiTheme="majorHAnsi"/>
                <w:b/>
                <w:sz w:val="24"/>
                <w:szCs w:val="24"/>
              </w:rPr>
              <w:t>No</w:t>
            </w:r>
          </w:p>
        </w:tc>
        <w:tc>
          <w:tcPr>
            <w:tcW w:w="6210" w:type="dxa"/>
          </w:tcPr>
          <w:p>
            <w:pPr>
              <w:spacing w:after="0" w:line="240" w:lineRule="auto"/>
              <w:jc w:val="center"/>
              <w:rPr>
                <w:rFonts w:asciiTheme="majorHAnsi" w:hAnsiTheme="majorHAnsi"/>
                <w:b/>
                <w:sz w:val="24"/>
                <w:szCs w:val="24"/>
              </w:rPr>
            </w:pPr>
            <w:r>
              <w:rPr>
                <w:rFonts w:asciiTheme="majorHAnsi" w:hAnsiTheme="majorHAnsi"/>
                <w:b/>
                <w:sz w:val="24"/>
                <w:szCs w:val="24"/>
              </w:rPr>
              <w:t>Program</w:t>
            </w:r>
          </w:p>
        </w:tc>
        <w:tc>
          <w:tcPr>
            <w:tcW w:w="2070" w:type="dxa"/>
          </w:tcPr>
          <w:p>
            <w:pPr>
              <w:spacing w:after="0" w:line="240" w:lineRule="auto"/>
              <w:jc w:val="center"/>
              <w:rPr>
                <w:rFonts w:asciiTheme="majorHAnsi" w:hAnsiTheme="majorHAnsi"/>
                <w:b/>
                <w:sz w:val="24"/>
                <w:szCs w:val="24"/>
              </w:rPr>
            </w:pPr>
            <w:r>
              <w:rPr>
                <w:rFonts w:asciiTheme="majorHAnsi" w:hAnsiTheme="majorHAnsi"/>
                <w:b/>
                <w:sz w:val="24"/>
                <w:szCs w:val="24"/>
              </w:rPr>
              <w:t>Anggaran</w:t>
            </w:r>
          </w:p>
        </w:tc>
        <w:tc>
          <w:tcPr>
            <w:tcW w:w="1530" w:type="dxa"/>
            <w:tcBorders>
              <w:bottom w:val="single" w:color="auto" w:sz="4" w:space="0"/>
            </w:tcBorders>
            <w:shd w:val="clear" w:color="auto" w:fill="auto"/>
          </w:tcPr>
          <w:p>
            <w:pPr>
              <w:spacing w:after="0" w:line="240" w:lineRule="auto"/>
              <w:rPr>
                <w:rFonts w:asciiTheme="majorHAnsi" w:hAnsiTheme="majorHAnsi"/>
                <w:b/>
              </w:rPr>
            </w:pPr>
            <w:r>
              <w:rPr>
                <w:rFonts w:asciiTheme="majorHAnsi" w:hAnsiTheme="majorHAnsi"/>
                <w:b/>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b/>
                <w:sz w:val="24"/>
                <w:szCs w:val="24"/>
              </w:rPr>
            </w:pPr>
            <w:r>
              <w:rPr>
                <w:rFonts w:asciiTheme="majorHAnsi" w:hAnsiTheme="majorHAnsi"/>
                <w:b/>
                <w:sz w:val="24"/>
                <w:szCs w:val="24"/>
              </w:rPr>
              <w:t>1</w:t>
            </w:r>
          </w:p>
        </w:tc>
        <w:tc>
          <w:tcPr>
            <w:tcW w:w="6210" w:type="dxa"/>
          </w:tcPr>
          <w:p>
            <w:pPr>
              <w:spacing w:after="0" w:line="240" w:lineRule="auto"/>
              <w:jc w:val="center"/>
              <w:rPr>
                <w:rFonts w:asciiTheme="majorHAnsi" w:hAnsiTheme="majorHAnsi"/>
                <w:b/>
                <w:sz w:val="24"/>
                <w:szCs w:val="24"/>
              </w:rPr>
            </w:pPr>
            <w:r>
              <w:rPr>
                <w:rFonts w:asciiTheme="majorHAnsi" w:hAnsiTheme="majorHAnsi"/>
                <w:b/>
                <w:sz w:val="24"/>
                <w:szCs w:val="24"/>
              </w:rPr>
              <w:t>2</w:t>
            </w:r>
          </w:p>
        </w:tc>
        <w:tc>
          <w:tcPr>
            <w:tcW w:w="2070" w:type="dxa"/>
          </w:tcPr>
          <w:p>
            <w:pPr>
              <w:spacing w:after="0" w:line="240" w:lineRule="auto"/>
              <w:jc w:val="center"/>
              <w:rPr>
                <w:rFonts w:asciiTheme="majorHAnsi" w:hAnsiTheme="majorHAnsi"/>
                <w:b/>
                <w:sz w:val="24"/>
                <w:szCs w:val="24"/>
              </w:rPr>
            </w:pPr>
            <w:r>
              <w:rPr>
                <w:rFonts w:asciiTheme="majorHAnsi" w:hAnsiTheme="majorHAnsi"/>
                <w:b/>
                <w:sz w:val="24"/>
                <w:szCs w:val="24"/>
              </w:rPr>
              <w:t>3</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1</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Pelayanan Administrasi Perkantoran</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951.802.038</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2</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Sarana dan Pra Sarana Aparatur</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219.250.000</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3</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Disiplin Aparatur</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33.750.000</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4</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Kapasitas Sumber Daya Aparatur</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32.152.000</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5</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Pengembangan Sistem Pelaporan Capaian Kinerja dan Keuangan</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568.557.303</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6</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Pemberantasan Penyakit Masyarakat (PEKAT)</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70.708.000</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7</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Kemitraan Pengembangan Wawasan Kebangsaan</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880.260.299</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8</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Pendidikan Politik Masyarakat</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539.736.000</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9</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Program Peningkatan Keamanan dan Kenyamanan Lingkungan</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1.061.266,019</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spacing w:after="0" w:line="240" w:lineRule="auto"/>
              <w:jc w:val="center"/>
              <w:rPr>
                <w:rFonts w:asciiTheme="majorHAnsi" w:hAnsiTheme="majorHAnsi"/>
                <w:sz w:val="24"/>
                <w:szCs w:val="24"/>
              </w:rPr>
            </w:pPr>
            <w:r>
              <w:rPr>
                <w:rFonts w:asciiTheme="majorHAnsi" w:hAnsiTheme="majorHAnsi"/>
                <w:sz w:val="24"/>
                <w:szCs w:val="24"/>
              </w:rPr>
              <w:t>10</w:t>
            </w:r>
          </w:p>
        </w:tc>
        <w:tc>
          <w:tcPr>
            <w:tcW w:w="6210" w:type="dxa"/>
          </w:tcPr>
          <w:p>
            <w:pPr>
              <w:spacing w:after="0" w:line="240" w:lineRule="auto"/>
              <w:rPr>
                <w:rFonts w:asciiTheme="majorHAnsi" w:hAnsiTheme="majorHAnsi"/>
                <w:sz w:val="24"/>
                <w:szCs w:val="24"/>
              </w:rPr>
            </w:pPr>
            <w:r>
              <w:rPr>
                <w:rFonts w:asciiTheme="majorHAnsi" w:hAnsiTheme="majorHAnsi"/>
                <w:sz w:val="24"/>
                <w:szCs w:val="24"/>
              </w:rPr>
              <w:t>Pencegahan, Penanganan dan Rehabilitasi Penyalahangunaan Narkoba</w:t>
            </w:r>
          </w:p>
        </w:tc>
        <w:tc>
          <w:tcPr>
            <w:tcW w:w="2070" w:type="dxa"/>
          </w:tcPr>
          <w:p>
            <w:pPr>
              <w:spacing w:after="0" w:line="240" w:lineRule="auto"/>
              <w:jc w:val="center"/>
              <w:rPr>
                <w:rFonts w:asciiTheme="majorHAnsi" w:hAnsiTheme="majorHAnsi"/>
                <w:color w:val="000000" w:themeColor="text1"/>
                <w:sz w:val="24"/>
                <w:szCs w:val="24"/>
                <w14:textFill>
                  <w14:solidFill>
                    <w14:schemeClr w14:val="tx1"/>
                  </w14:solidFill>
                </w14:textFill>
              </w:rPr>
            </w:pPr>
            <w:r>
              <w:rPr>
                <w:rFonts w:asciiTheme="majorHAnsi" w:hAnsiTheme="majorHAnsi"/>
                <w:color w:val="000000" w:themeColor="text1"/>
                <w:sz w:val="24"/>
                <w:szCs w:val="24"/>
                <w14:textFill>
                  <w14:solidFill>
                    <w14:schemeClr w14:val="tx1"/>
                  </w14:solidFill>
                </w14:textFill>
              </w:rPr>
              <w:t>173.503.823</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r>
              <w:rPr>
                <w:rFonts w:asciiTheme="majorHAnsi" w:hAnsiTheme="majorHAnsi"/>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0" w:type="dxa"/>
            <w:gridSpan w:val="2"/>
          </w:tcPr>
          <w:p>
            <w:pPr>
              <w:spacing w:after="0" w:line="240" w:lineRule="auto"/>
              <w:jc w:val="center"/>
              <w:rPr>
                <w:rFonts w:asciiTheme="majorHAnsi" w:hAnsiTheme="majorHAnsi"/>
                <w:b/>
                <w:sz w:val="24"/>
                <w:szCs w:val="24"/>
              </w:rPr>
            </w:pPr>
            <w:r>
              <w:rPr>
                <w:rFonts w:asciiTheme="majorHAnsi" w:hAnsiTheme="majorHAnsi"/>
                <w:b/>
                <w:sz w:val="24"/>
                <w:szCs w:val="24"/>
              </w:rPr>
              <w:t>JUMLAH</w:t>
            </w:r>
          </w:p>
        </w:tc>
        <w:tc>
          <w:tcPr>
            <w:tcW w:w="2070" w:type="dxa"/>
          </w:tcPr>
          <w:p>
            <w:pPr>
              <w:spacing w:after="0" w:line="240" w:lineRule="auto"/>
              <w:rPr>
                <w:rFonts w:asciiTheme="majorHAnsi" w:hAnsiTheme="majorHAnsi"/>
                <w:b/>
                <w:sz w:val="24"/>
                <w:szCs w:val="24"/>
              </w:rPr>
            </w:pPr>
            <w:r>
              <w:rPr>
                <w:rFonts w:asciiTheme="majorHAnsi" w:hAnsiTheme="majorHAnsi"/>
                <w:b/>
                <w:sz w:val="24"/>
                <w:szCs w:val="24"/>
              </w:rPr>
              <w:t xml:space="preserve">   4.530.985.482</w:t>
            </w:r>
          </w:p>
        </w:tc>
        <w:tc>
          <w:tcPr>
            <w:tcW w:w="1530" w:type="dxa"/>
            <w:tcBorders>
              <w:bottom w:val="single" w:color="auto" w:sz="4" w:space="0"/>
            </w:tcBorders>
            <w:shd w:val="clear" w:color="auto" w:fill="auto"/>
          </w:tcPr>
          <w:p>
            <w:pPr>
              <w:spacing w:after="0" w:line="240" w:lineRule="auto"/>
              <w:jc w:val="center"/>
              <w:rPr>
                <w:rFonts w:asciiTheme="majorHAnsi" w:hAnsiTheme="majorHAnsi"/>
              </w:rPr>
            </w:pPr>
          </w:p>
        </w:tc>
      </w:tr>
    </w:tbl>
    <w:p>
      <w:pPr>
        <w:rPr>
          <w:rFonts w:asciiTheme="majorHAnsi" w:hAnsiTheme="majorHAnsi"/>
          <w:lang w:val="id-ID"/>
        </w:rPr>
      </w:pPr>
    </w:p>
    <w:tbl>
      <w:tblPr>
        <w:tblStyle w:val="5"/>
        <w:tblW w:w="9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7"/>
        <w:gridCol w:w="1843"/>
        <w:gridCol w:w="4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27" w:type="dxa"/>
          </w:tcPr>
          <w:p>
            <w:pPr>
              <w:spacing w:after="0" w:line="240" w:lineRule="auto"/>
              <w:jc w:val="cente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 xml:space="preserve">  </w:t>
            </w:r>
          </w:p>
          <w:p>
            <w:pPr>
              <w:spacing w:after="0" w:line="240" w:lineRule="auto"/>
              <w:jc w:val="center"/>
              <w:rPr>
                <w:rFonts w:asciiTheme="majorHAnsi" w:hAnsiTheme="majorHAnsi"/>
                <w:lang w:val="id-ID"/>
              </w:rPr>
            </w:pPr>
            <w:r>
              <w:rPr>
                <w:rFonts w:asciiTheme="majorHAnsi" w:hAnsiTheme="majorHAnsi"/>
                <w:b/>
              </w:rPr>
              <w:t>GUBERNUR SUMATER BARAT</w:t>
            </w:r>
          </w:p>
          <w:p>
            <w:pPr>
              <w:pStyle w:val="6"/>
              <w:jc w:val="center"/>
              <w:rPr>
                <w:rFonts w:asciiTheme="majorHAnsi" w:hAnsiTheme="majorHAnsi"/>
                <w:b/>
                <w:lang w:val="id-ID"/>
              </w:rPr>
            </w:pPr>
          </w:p>
          <w:p>
            <w:pPr>
              <w:spacing w:after="0" w:line="240" w:lineRule="auto"/>
              <w:jc w:val="center"/>
              <w:rPr>
                <w:rFonts w:asciiTheme="majorHAnsi" w:hAnsiTheme="majorHAnsi"/>
                <w:b/>
                <w:lang w:val="id-ID"/>
              </w:rPr>
            </w:pPr>
          </w:p>
          <w:p>
            <w:pPr>
              <w:spacing w:after="0" w:line="240" w:lineRule="auto"/>
              <w:jc w:val="center"/>
              <w:rPr>
                <w:rFonts w:asciiTheme="majorHAnsi" w:hAnsiTheme="majorHAnsi"/>
                <w:b/>
                <w:lang w:val="id-ID"/>
              </w:rPr>
            </w:pPr>
          </w:p>
          <w:p>
            <w:pPr>
              <w:spacing w:after="0" w:line="240" w:lineRule="auto"/>
              <w:jc w:val="center"/>
              <w:rPr>
                <w:rFonts w:asciiTheme="majorHAnsi" w:hAnsiTheme="majorHAnsi"/>
                <w:b/>
                <w:lang w:val="id-ID"/>
              </w:rPr>
            </w:pPr>
          </w:p>
          <w:p>
            <w:pPr>
              <w:spacing w:after="0" w:line="240" w:lineRule="auto"/>
              <w:jc w:val="center"/>
              <w:rPr>
                <w:rFonts w:asciiTheme="majorHAnsi" w:hAnsiTheme="majorHAnsi"/>
                <w:b/>
                <w:lang w:val="id-ID"/>
              </w:rPr>
            </w:pPr>
          </w:p>
          <w:p>
            <w:pPr>
              <w:spacing w:after="0" w:line="240" w:lineRule="auto"/>
              <w:jc w:val="center"/>
              <w:rPr>
                <w:rFonts w:asciiTheme="majorHAnsi" w:hAnsiTheme="majorHAnsi"/>
                <w:b/>
                <w:u w:val="single"/>
                <w:lang w:val="id-ID"/>
              </w:rPr>
            </w:pPr>
            <w:r>
              <w:rPr>
                <w:rFonts w:asciiTheme="majorHAnsi" w:hAnsiTheme="majorHAnsi"/>
                <w:b/>
                <w:u w:val="single"/>
                <w:lang w:val="id-ID"/>
              </w:rPr>
              <w:t>IRWAN PRAYITNO</w:t>
            </w:r>
          </w:p>
          <w:p>
            <w:pPr>
              <w:spacing w:after="0" w:line="240" w:lineRule="auto"/>
              <w:rPr>
                <w:rFonts w:asciiTheme="majorHAnsi" w:hAnsiTheme="majorHAnsi"/>
                <w:lang w:val="id-ID"/>
              </w:rPr>
            </w:pPr>
          </w:p>
        </w:tc>
        <w:tc>
          <w:tcPr>
            <w:tcW w:w="1843" w:type="dxa"/>
          </w:tcPr>
          <w:p>
            <w:pPr>
              <w:spacing w:after="0" w:line="240" w:lineRule="auto"/>
              <w:rPr>
                <w:rFonts w:asciiTheme="majorHAnsi" w:hAnsiTheme="majorHAnsi"/>
                <w:lang w:val="id-ID"/>
              </w:rPr>
            </w:pPr>
          </w:p>
        </w:tc>
        <w:tc>
          <w:tcPr>
            <w:tcW w:w="4315" w:type="dxa"/>
          </w:tcPr>
          <w:p>
            <w:pPr>
              <w:spacing w:after="0" w:line="240" w:lineRule="auto"/>
              <w:ind w:left="317"/>
              <w:jc w:val="center"/>
              <w:rPr>
                <w:rFonts w:asciiTheme="majorHAnsi" w:hAnsiTheme="majorHAnsi"/>
              </w:rPr>
            </w:pPr>
            <w:r>
              <w:rPr>
                <w:rFonts w:asciiTheme="majorHAnsi" w:hAnsiTheme="majorHAnsi"/>
                <w:lang w:val="id-ID"/>
              </w:rPr>
              <w:t xml:space="preserve">  </w:t>
            </w:r>
            <w:r>
              <w:rPr>
                <w:rFonts w:asciiTheme="majorHAnsi" w:hAnsiTheme="majorHAnsi"/>
              </w:rPr>
              <w:t xml:space="preserve">PADANG, </w:t>
            </w:r>
            <w:r>
              <w:rPr>
                <w:rFonts w:asciiTheme="majorHAnsi" w:hAnsiTheme="majorHAnsi"/>
              </w:rPr>
              <w:tab/>
            </w:r>
            <w:r>
              <w:rPr>
                <w:rFonts w:asciiTheme="majorHAnsi" w:hAnsiTheme="majorHAnsi"/>
              </w:rPr>
              <w:t xml:space="preserve">                             2019</w:t>
            </w:r>
          </w:p>
          <w:p>
            <w:pPr>
              <w:spacing w:after="0" w:line="240" w:lineRule="auto"/>
              <w:ind w:left="317"/>
              <w:jc w:val="center"/>
              <w:rPr>
                <w:rFonts w:asciiTheme="majorHAnsi" w:hAnsiTheme="majorHAnsi"/>
                <w:lang w:val="id-ID"/>
              </w:rPr>
            </w:pPr>
          </w:p>
          <w:p>
            <w:pPr>
              <w:spacing w:after="0" w:line="240" w:lineRule="auto"/>
              <w:ind w:left="317"/>
              <w:jc w:val="center"/>
              <w:rPr>
                <w:rFonts w:asciiTheme="majorHAnsi" w:hAnsiTheme="majorHAnsi"/>
                <w:b/>
                <w:lang w:val="id-ID"/>
              </w:rPr>
            </w:pPr>
            <w:r>
              <w:rPr>
                <w:rFonts w:asciiTheme="majorHAnsi" w:hAnsiTheme="majorHAnsi"/>
                <w:b/>
              </w:rPr>
              <w:t xml:space="preserve">KEPALA </w:t>
            </w:r>
            <w:r>
              <w:rPr>
                <w:rFonts w:asciiTheme="majorHAnsi" w:hAnsiTheme="majorHAnsi"/>
                <w:b/>
                <w:lang w:val="id-ID"/>
              </w:rPr>
              <w:t xml:space="preserve">BADAN </w:t>
            </w:r>
          </w:p>
          <w:p>
            <w:pPr>
              <w:tabs>
                <w:tab w:val="left" w:pos="1530"/>
              </w:tabs>
              <w:spacing w:after="0" w:line="240" w:lineRule="auto"/>
              <w:ind w:left="317"/>
              <w:rPr>
                <w:rFonts w:asciiTheme="majorHAnsi" w:hAnsiTheme="majorHAnsi"/>
                <w:b/>
              </w:rPr>
            </w:pPr>
          </w:p>
          <w:p>
            <w:pPr>
              <w:tabs>
                <w:tab w:val="left" w:pos="1530"/>
              </w:tabs>
              <w:spacing w:after="0" w:line="240" w:lineRule="auto"/>
              <w:ind w:left="317"/>
              <w:rPr>
                <w:rFonts w:asciiTheme="majorHAnsi" w:hAnsiTheme="majorHAnsi"/>
                <w:b/>
              </w:rPr>
            </w:pPr>
          </w:p>
          <w:p>
            <w:pPr>
              <w:tabs>
                <w:tab w:val="left" w:pos="1530"/>
              </w:tabs>
              <w:spacing w:after="0" w:line="240" w:lineRule="auto"/>
              <w:ind w:left="317"/>
              <w:rPr>
                <w:rFonts w:asciiTheme="majorHAnsi" w:hAnsiTheme="majorHAnsi"/>
                <w:b/>
              </w:rPr>
            </w:pPr>
          </w:p>
          <w:p>
            <w:pPr>
              <w:tabs>
                <w:tab w:val="left" w:pos="1530"/>
              </w:tabs>
              <w:spacing w:after="0" w:line="240" w:lineRule="auto"/>
              <w:ind w:left="317"/>
              <w:rPr>
                <w:rFonts w:asciiTheme="majorHAnsi" w:hAnsiTheme="majorHAnsi"/>
                <w:b/>
              </w:rPr>
            </w:pPr>
          </w:p>
          <w:p>
            <w:pPr>
              <w:tabs>
                <w:tab w:val="left" w:pos="1530"/>
              </w:tabs>
              <w:spacing w:after="0" w:line="240" w:lineRule="auto"/>
              <w:ind w:left="317"/>
              <w:rPr>
                <w:rFonts w:asciiTheme="majorHAnsi" w:hAnsiTheme="majorHAnsi"/>
                <w:b/>
                <w:lang w:val="id-ID"/>
              </w:rPr>
            </w:pPr>
          </w:p>
          <w:p>
            <w:pPr>
              <w:spacing w:after="0" w:line="240" w:lineRule="auto"/>
              <w:ind w:left="317"/>
              <w:jc w:val="center"/>
              <w:rPr>
                <w:rFonts w:asciiTheme="majorHAnsi" w:hAnsiTheme="majorHAnsi"/>
                <w:b/>
                <w:u w:val="single"/>
                <w:lang w:val="id-ID"/>
              </w:rPr>
            </w:pPr>
            <w:r>
              <w:rPr>
                <w:rFonts w:asciiTheme="majorHAnsi" w:hAnsiTheme="majorHAnsi"/>
                <w:b/>
                <w:u w:val="single"/>
                <w:lang w:val="id-ID"/>
              </w:rPr>
              <w:t>NAZWIR, SH, M.Hum</w:t>
            </w:r>
          </w:p>
          <w:p>
            <w:pPr>
              <w:spacing w:after="0" w:line="240" w:lineRule="auto"/>
              <w:ind w:left="317"/>
              <w:jc w:val="center"/>
              <w:rPr>
                <w:rFonts w:asciiTheme="majorHAnsi" w:hAnsiTheme="majorHAnsi"/>
                <w:lang w:val="id-ID"/>
              </w:rPr>
            </w:pPr>
            <w:r>
              <w:rPr>
                <w:rFonts w:asciiTheme="majorHAnsi" w:hAnsiTheme="majorHAnsi"/>
                <w:sz w:val="24"/>
                <w:szCs w:val="24"/>
              </w:rPr>
              <w:t>Nip.</w:t>
            </w:r>
            <w:r>
              <w:rPr>
                <w:rFonts w:asciiTheme="majorHAnsi" w:hAnsiTheme="majorHAnsi"/>
                <w:sz w:val="24"/>
                <w:szCs w:val="24"/>
                <w:lang w:val="id-ID"/>
              </w:rPr>
              <w:t>19641111 199003 1 008</w:t>
            </w:r>
          </w:p>
        </w:tc>
      </w:tr>
    </w:tbl>
    <w:tbl>
      <w:tblPr>
        <w:tblStyle w:val="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429" w:type="dxa"/>
            <w:tcBorders>
              <w:top w:val="nil"/>
              <w:left w:val="nil"/>
              <w:bottom w:val="thinThickThinSmallGap" w:color="auto" w:sz="24" w:space="0"/>
              <w:right w:val="nil"/>
            </w:tcBorders>
          </w:tcPr>
          <w:p>
            <w:pPr>
              <w:spacing w:after="0" w:line="240" w:lineRule="auto"/>
              <w:rPr>
                <w:rFonts w:ascii="Times New Roman" w:hAnsi="Times New Roman" w:eastAsia="Times New Roman" w:cs="Times New Roman"/>
                <w:sz w:val="24"/>
                <w:szCs w:val="24"/>
                <w:lang w:val="sv-SE"/>
              </w:rPr>
            </w:pPr>
            <w:r>
              <w:rPr>
                <w:lang w:val="en-US"/>
              </w:rPr>
              <w:drawing>
                <wp:inline distT="0" distB="0" distL="114300" distR="114300">
                  <wp:extent cx="762000" cy="787400"/>
                  <wp:effectExtent l="0" t="0" r="0" b="0"/>
                  <wp:docPr id="1" name="Picture 1" descr="logo su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umbar"/>
                          <pic:cNvPicPr>
                            <a:picLocks noChangeAspect="1"/>
                          </pic:cNvPicPr>
                        </pic:nvPicPr>
                        <pic:blipFill>
                          <a:blip r:embed="rId4"/>
                          <a:stretch>
                            <a:fillRect/>
                          </a:stretch>
                        </pic:blipFill>
                        <pic:spPr>
                          <a:xfrm>
                            <a:off x="0" y="0"/>
                            <a:ext cx="762000" cy="787400"/>
                          </a:xfrm>
                          <a:prstGeom prst="rect">
                            <a:avLst/>
                          </a:prstGeom>
                          <a:noFill/>
                          <a:ln w="9525">
                            <a:noFill/>
                          </a:ln>
                        </pic:spPr>
                      </pic:pic>
                    </a:graphicData>
                  </a:graphic>
                </wp:inline>
              </w:drawing>
            </w:r>
          </w:p>
        </w:tc>
        <w:tc>
          <w:tcPr>
            <w:tcW w:w="8111" w:type="dxa"/>
            <w:tcBorders>
              <w:top w:val="nil"/>
              <w:left w:val="nil"/>
              <w:bottom w:val="thinThickThinSmallGap" w:color="auto" w:sz="24" w:space="0"/>
              <w:right w:val="nil"/>
            </w:tcBorders>
          </w:tcPr>
          <w:p>
            <w:pPr>
              <w:spacing w:before="120" w:after="0" w:line="240" w:lineRule="auto"/>
              <w:jc w:val="center"/>
              <w:rPr>
                <w:rFonts w:hint="default" w:ascii="Tahoma" w:hAnsi="Tahoma" w:eastAsia="Times New Roman" w:cs="Tahoma"/>
                <w:b/>
                <w:sz w:val="28"/>
                <w:szCs w:val="28"/>
                <w:lang w:val="sv-SE"/>
              </w:rPr>
            </w:pPr>
            <w:r>
              <w:rPr>
                <w:rFonts w:hint="default" w:ascii="Tahoma" w:hAnsi="Tahoma" w:eastAsia="Times New Roman" w:cs="Tahoma"/>
                <w:b/>
                <w:sz w:val="28"/>
                <w:szCs w:val="28"/>
                <w:lang w:val="sv-SE"/>
              </w:rPr>
              <w:t>PEMERINTAH PROVINSI SUMATERA BARAT</w:t>
            </w:r>
          </w:p>
          <w:p>
            <w:pPr>
              <w:spacing w:after="0" w:line="240" w:lineRule="auto"/>
              <w:jc w:val="center"/>
              <w:rPr>
                <w:rFonts w:hint="default" w:ascii="Tahoma" w:hAnsi="Tahoma" w:eastAsia="Times New Roman" w:cs="Tahoma"/>
                <w:b/>
                <w:sz w:val="36"/>
                <w:szCs w:val="36"/>
                <w:lang w:val="sv-SE"/>
              </w:rPr>
            </w:pPr>
            <w:r>
              <w:rPr>
                <w:rFonts w:hint="default" w:ascii="Tahoma" w:hAnsi="Tahoma" w:eastAsia="Times New Roman" w:cs="Tahoma"/>
                <w:b/>
                <w:sz w:val="36"/>
                <w:szCs w:val="36"/>
                <w:lang w:val="sv-SE"/>
              </w:rPr>
              <w:t>BADAN KESATUAN BANGSA DAN POLITIK</w:t>
            </w:r>
          </w:p>
          <w:p>
            <w:pPr>
              <w:spacing w:after="0" w:line="240" w:lineRule="auto"/>
              <w:jc w:val="center"/>
              <w:rPr>
                <w:rFonts w:hint="default" w:ascii="Tahoma" w:hAnsi="Tahoma" w:eastAsia="Times New Roman" w:cs="Tahoma"/>
                <w:sz w:val="20"/>
                <w:szCs w:val="20"/>
                <w:lang w:val="sv-SE"/>
              </w:rPr>
            </w:pPr>
            <w:r>
              <w:rPr>
                <w:rFonts w:hint="default" w:ascii="Tahoma" w:hAnsi="Tahoma" w:eastAsia="Times New Roman" w:cs="Tahoma"/>
                <w:sz w:val="20"/>
                <w:szCs w:val="20"/>
                <w:lang w:val="fi-FI"/>
              </w:rPr>
              <w:t xml:space="preserve">Jalan Kuini No.79.A No. 51 Telp. </w:t>
            </w:r>
            <w:r>
              <w:rPr>
                <w:rFonts w:hint="default" w:ascii="Tahoma" w:hAnsi="Tahoma" w:eastAsia="Times New Roman" w:cs="Tahoma"/>
                <w:sz w:val="20"/>
                <w:szCs w:val="20"/>
                <w:lang w:val="sv-SE"/>
              </w:rPr>
              <w:t>(0751) 34475 – Fax (0751) 31554</w:t>
            </w:r>
          </w:p>
          <w:p>
            <w:pPr>
              <w:spacing w:after="120" w:line="240" w:lineRule="auto"/>
              <w:jc w:val="center"/>
              <w:rPr>
                <w:rFonts w:ascii="Times New Roman" w:hAnsi="Times New Roman" w:eastAsia="Times New Roman" w:cs="Times New Roman"/>
                <w:b/>
                <w:sz w:val="24"/>
                <w:szCs w:val="24"/>
                <w:lang w:val="sv-SE"/>
              </w:rPr>
            </w:pPr>
            <w:r>
              <w:rPr>
                <w:rFonts w:hint="default" w:ascii="Tahoma" w:hAnsi="Tahoma" w:eastAsia="Times New Roman" w:cs="Tahoma"/>
                <w:b/>
                <w:sz w:val="20"/>
                <w:szCs w:val="20"/>
                <w:lang w:val="sv-SE"/>
              </w:rPr>
              <w:t>P A D A N G</w:t>
            </w:r>
          </w:p>
        </w:tc>
      </w:tr>
    </w:tbl>
    <w:p>
      <w:pPr>
        <w:tabs>
          <w:tab w:val="left" w:pos="1080"/>
        </w:tabs>
        <w:spacing w:after="0" w:line="240" w:lineRule="auto"/>
        <w:jc w:val="center"/>
        <w:rPr>
          <w:rFonts w:ascii="Times New Roman" w:hAnsi="Times New Roman" w:eastAsia="Times New Roman" w:cs="Times New Roman"/>
          <w:b/>
          <w:sz w:val="24"/>
          <w:szCs w:val="24"/>
          <w:lang w:val="sv-SE"/>
        </w:rPr>
      </w:pPr>
    </w:p>
    <w:p>
      <w:pPr>
        <w:tabs>
          <w:tab w:val="left" w:pos="1080"/>
        </w:tabs>
        <w:spacing w:after="0" w:line="240" w:lineRule="auto"/>
        <w:jc w:val="center"/>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PERJANJIAN KINERJA TAHUN 2019</w:t>
      </w:r>
    </w:p>
    <w:p>
      <w:pPr>
        <w:tabs>
          <w:tab w:val="left" w:pos="1080"/>
        </w:tabs>
        <w:spacing w:after="0" w:line="240" w:lineRule="auto"/>
        <w:jc w:val="center"/>
        <w:rPr>
          <w:rFonts w:ascii="Times New Roman" w:hAnsi="Times New Roman" w:eastAsia="Times New Roman" w:cs="Times New Roman"/>
          <w:sz w:val="24"/>
          <w:szCs w:val="24"/>
          <w:lang w:val="sv-SE"/>
        </w:rPr>
      </w:pPr>
    </w:p>
    <w:p>
      <w:pPr>
        <w:tabs>
          <w:tab w:val="left" w:pos="1080"/>
        </w:tabs>
        <w:spacing w:after="0" w:line="360" w:lineRule="auto"/>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 xml:space="preserve">Dalam rangka mewujudkan manajemen pemerintahan yang efektif, tranparan dan akuntabel serta berorientasi pada hasil, kami yang bertanda tangan dibawah ini: </w:t>
      </w:r>
    </w:p>
    <w:p>
      <w:pPr>
        <w:tabs>
          <w:tab w:val="left" w:pos="1080"/>
        </w:tabs>
        <w:spacing w:after="0" w:line="360" w:lineRule="auto"/>
        <w:rPr>
          <w:rFonts w:ascii="Times New Roman" w:hAnsi="Times New Roman" w:eastAsia="Times New Roman" w:cs="Times New Roman"/>
          <w:sz w:val="24"/>
          <w:szCs w:val="24"/>
          <w:lang w:val="sv-SE"/>
        </w:rPr>
      </w:pPr>
      <w:bookmarkStart w:id="0" w:name="_GoBack"/>
      <w:bookmarkEnd w:id="0"/>
    </w:p>
    <w:p>
      <w:pPr>
        <w:tabs>
          <w:tab w:val="left" w:pos="1080"/>
        </w:tabs>
        <w:spacing w:after="0" w:line="360" w:lineRule="auto"/>
        <w:rPr>
          <w:rFonts w:ascii="Times New Roman" w:hAnsi="Times New Roman" w:eastAsia="Times New Roman" w:cs="Times New Roman"/>
          <w:b/>
          <w:sz w:val="24"/>
          <w:szCs w:val="24"/>
          <w:lang w:val="sv-SE"/>
        </w:rPr>
      </w:pPr>
      <w:r>
        <w:rPr>
          <w:rFonts w:ascii="Times New Roman" w:hAnsi="Times New Roman" w:eastAsia="Times New Roman" w:cs="Times New Roman"/>
          <w:sz w:val="24"/>
          <w:szCs w:val="24"/>
          <w:lang w:val="sv-SE"/>
        </w:rPr>
        <w:t>Nama</w:t>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 xml:space="preserve">: </w:t>
      </w:r>
      <w:r>
        <w:rPr>
          <w:rFonts w:ascii="Times New Roman" w:hAnsi="Times New Roman" w:eastAsia="Times New Roman" w:cs="Times New Roman"/>
          <w:b/>
          <w:sz w:val="24"/>
          <w:szCs w:val="24"/>
          <w:lang w:val="sv-SE"/>
        </w:rPr>
        <w:t xml:space="preserve">NAZWIR, SH, M.Hum </w:t>
      </w:r>
    </w:p>
    <w:p>
      <w:pPr>
        <w:tabs>
          <w:tab w:val="left" w:pos="1080"/>
        </w:tabs>
        <w:spacing w:after="0" w:line="360" w:lineRule="auto"/>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Jabatan</w:t>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 Kepala Badan Kesatuan Bangsa dan Politik Provinsi Sumatera Barat</w:t>
      </w:r>
    </w:p>
    <w:p>
      <w:pPr>
        <w:tabs>
          <w:tab w:val="left" w:pos="1080"/>
        </w:tabs>
        <w:spacing w:after="0" w:line="360" w:lineRule="auto"/>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Selanjutnya disebut pihak pertama</w:t>
      </w:r>
    </w:p>
    <w:p>
      <w:pPr>
        <w:tabs>
          <w:tab w:val="left" w:pos="1080"/>
        </w:tabs>
        <w:spacing w:after="0" w:line="360" w:lineRule="auto"/>
        <w:rPr>
          <w:rFonts w:ascii="Times New Roman" w:hAnsi="Times New Roman" w:eastAsia="Times New Roman" w:cs="Times New Roman"/>
          <w:b/>
          <w:sz w:val="24"/>
          <w:szCs w:val="24"/>
          <w:lang w:val="sv-SE"/>
        </w:rPr>
      </w:pPr>
    </w:p>
    <w:p>
      <w:pPr>
        <w:tabs>
          <w:tab w:val="left" w:pos="1080"/>
        </w:tabs>
        <w:spacing w:after="0" w:line="360" w:lineRule="auto"/>
        <w:rPr>
          <w:rFonts w:ascii="Times New Roman" w:hAnsi="Times New Roman" w:eastAsia="Times New Roman" w:cs="Times New Roman"/>
          <w:b/>
          <w:sz w:val="24"/>
          <w:szCs w:val="24"/>
          <w:lang w:val="sv-SE"/>
        </w:rPr>
      </w:pPr>
      <w:r>
        <w:rPr>
          <w:rFonts w:ascii="Times New Roman" w:hAnsi="Times New Roman" w:eastAsia="Times New Roman" w:cs="Times New Roman"/>
          <w:sz w:val="24"/>
          <w:szCs w:val="24"/>
          <w:lang w:val="sv-SE"/>
        </w:rPr>
        <w:t>Nama</w:t>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 xml:space="preserve">: </w:t>
      </w:r>
      <w:r>
        <w:rPr>
          <w:rFonts w:ascii="Times New Roman" w:hAnsi="Times New Roman" w:eastAsia="Times New Roman" w:cs="Times New Roman"/>
          <w:b/>
          <w:sz w:val="24"/>
          <w:szCs w:val="24"/>
          <w:lang w:val="sv-SE"/>
        </w:rPr>
        <w:t>IRWAN PRAYITNO</w:t>
      </w:r>
    </w:p>
    <w:p>
      <w:pPr>
        <w:tabs>
          <w:tab w:val="left" w:pos="1080"/>
        </w:tabs>
        <w:spacing w:after="0" w:line="360" w:lineRule="auto"/>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Jabatan</w:t>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ab/>
      </w:r>
      <w:r>
        <w:rPr>
          <w:rFonts w:ascii="Times New Roman" w:hAnsi="Times New Roman" w:eastAsia="Times New Roman" w:cs="Times New Roman"/>
          <w:sz w:val="24"/>
          <w:szCs w:val="24"/>
          <w:lang w:val="sv-SE"/>
        </w:rPr>
        <w:t>: Gubernur Sumatera Barat</w:t>
      </w:r>
    </w:p>
    <w:p>
      <w:pPr>
        <w:tabs>
          <w:tab w:val="left" w:pos="1080"/>
        </w:tabs>
        <w:spacing w:after="0" w:line="360" w:lineRule="auto"/>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Selaku atasan pihak pertama, selanjutnya disebut pihak kedua</w:t>
      </w:r>
    </w:p>
    <w:p>
      <w:pPr>
        <w:spacing w:after="0" w:line="360" w:lineRule="auto"/>
        <w:rPr>
          <w:rFonts w:ascii="Times New Roman" w:hAnsi="Times New Roman" w:eastAsia="Times New Roman" w:cs="Times New Roman"/>
          <w:sz w:val="24"/>
          <w:szCs w:val="24"/>
          <w:lang w:val="sv-SE"/>
        </w:rPr>
      </w:pPr>
    </w:p>
    <w:p>
      <w:pPr>
        <w:tabs>
          <w:tab w:val="left" w:pos="1080"/>
        </w:tabs>
        <w:spacing w:after="0" w:line="360" w:lineRule="auto"/>
        <w:jc w:val="both"/>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Pihak</w:t>
      </w:r>
      <w:r>
        <w:rPr>
          <w:rFonts w:ascii="Times New Roman" w:hAnsi="Times New Roman" w:eastAsia="Times New Roman" w:cs="Times New Roman"/>
          <w:b/>
          <w:sz w:val="24"/>
          <w:szCs w:val="24"/>
          <w:lang w:val="sv-SE"/>
        </w:rPr>
        <w:t xml:space="preserve"> </w:t>
      </w:r>
      <w:r>
        <w:rPr>
          <w:rFonts w:ascii="Times New Roman" w:hAnsi="Times New Roman" w:eastAsia="Times New Roman" w:cs="Times New Roman"/>
          <w:sz w:val="24"/>
          <w:szCs w:val="24"/>
          <w:lang w:val="sv-SE"/>
        </w:rPr>
        <w:t>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pPr>
        <w:tabs>
          <w:tab w:val="left" w:pos="1080"/>
        </w:tabs>
        <w:spacing w:after="0" w:line="360" w:lineRule="auto"/>
        <w:jc w:val="both"/>
        <w:rPr>
          <w:rFonts w:ascii="Times New Roman" w:hAnsi="Times New Roman" w:eastAsia="Times New Roman" w:cs="Times New Roman"/>
          <w:sz w:val="24"/>
          <w:szCs w:val="24"/>
          <w:lang w:val="sv-SE"/>
        </w:rPr>
      </w:pPr>
    </w:p>
    <w:p>
      <w:pPr>
        <w:tabs>
          <w:tab w:val="left" w:pos="1080"/>
        </w:tabs>
        <w:spacing w:after="0" w:line="360" w:lineRule="auto"/>
        <w:jc w:val="both"/>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Pihak kedua akan melakukan supervisi yang diperlukan serta akan melakukan evaluasi terhadap capaian kinerja dari perjanjian ini dan mengambil tindakan yang diperlukan dalam rangka pemberian penghargaan dan sangsi.</w:t>
      </w:r>
    </w:p>
    <w:p>
      <w:pPr>
        <w:tabs>
          <w:tab w:val="left" w:pos="1080"/>
        </w:tabs>
        <w:spacing w:after="0" w:line="360" w:lineRule="auto"/>
        <w:jc w:val="both"/>
        <w:rPr>
          <w:rFonts w:ascii="Times New Roman" w:hAnsi="Times New Roman" w:eastAsia="Times New Roman" w:cs="Times New Roman"/>
          <w:sz w:val="24"/>
          <w:szCs w:val="24"/>
          <w:lang w:val="sv-SE"/>
        </w:rPr>
      </w:pPr>
    </w:p>
    <w:p>
      <w:pPr>
        <w:tabs>
          <w:tab w:val="left" w:pos="1080"/>
        </w:tabs>
        <w:spacing w:after="0" w:line="240" w:lineRule="auto"/>
        <w:jc w:val="center"/>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 xml:space="preserve">                                                                                                        Padang,                          2019</w:t>
      </w:r>
    </w:p>
    <w:p>
      <w:pPr>
        <w:tabs>
          <w:tab w:val="left" w:pos="1080"/>
        </w:tabs>
        <w:spacing w:after="0" w:line="240" w:lineRule="auto"/>
        <w:rPr>
          <w:rFonts w:ascii="Times New Roman" w:hAnsi="Times New Roman" w:eastAsia="Times New Roman" w:cs="Times New Roman"/>
          <w:sz w:val="24"/>
          <w:szCs w:val="24"/>
          <w:lang w:val="sv-SE"/>
        </w:rPr>
      </w:pPr>
    </w:p>
    <w:p>
      <w:pPr>
        <w:tabs>
          <w:tab w:val="left" w:pos="1080"/>
        </w:tabs>
        <w:spacing w:after="0" w:line="240" w:lineRule="auto"/>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 xml:space="preserve">   PIHAK KEDUA</w:t>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 xml:space="preserve">        PIHAK PERTAMA</w:t>
      </w:r>
    </w:p>
    <w:p>
      <w:pPr>
        <w:tabs>
          <w:tab w:val="left" w:pos="1080"/>
        </w:tabs>
        <w:spacing w:after="0" w:line="240" w:lineRule="auto"/>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 xml:space="preserve">    </w:t>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 xml:space="preserve">         </w:t>
      </w:r>
    </w:p>
    <w:p>
      <w:pPr>
        <w:tabs>
          <w:tab w:val="left" w:pos="1080"/>
        </w:tabs>
        <w:spacing w:after="0"/>
        <w:jc w:val="center"/>
        <w:rPr>
          <w:rFonts w:ascii="Times New Roman" w:hAnsi="Times New Roman" w:eastAsia="Times New Roman" w:cs="Times New Roman"/>
          <w:b/>
          <w:sz w:val="24"/>
          <w:szCs w:val="24"/>
          <w:lang w:val="sv-SE"/>
        </w:rPr>
      </w:pPr>
    </w:p>
    <w:p>
      <w:pPr>
        <w:tabs>
          <w:tab w:val="left" w:pos="1080"/>
        </w:tabs>
        <w:spacing w:after="0"/>
        <w:jc w:val="center"/>
        <w:rPr>
          <w:rFonts w:ascii="Times New Roman" w:hAnsi="Times New Roman" w:eastAsia="Times New Roman" w:cs="Times New Roman"/>
          <w:b/>
          <w:sz w:val="24"/>
          <w:szCs w:val="24"/>
          <w:lang w:val="sv-SE"/>
        </w:rPr>
      </w:pPr>
    </w:p>
    <w:p>
      <w:pPr>
        <w:tabs>
          <w:tab w:val="left" w:pos="1080"/>
        </w:tabs>
        <w:spacing w:after="0"/>
        <w:rPr>
          <w:rFonts w:ascii="Times New Roman" w:hAnsi="Times New Roman" w:eastAsia="Times New Roman" w:cs="Times New Roman"/>
          <w:b/>
          <w:sz w:val="24"/>
          <w:szCs w:val="24"/>
          <w:lang w:val="sv-SE"/>
        </w:rPr>
      </w:pPr>
    </w:p>
    <w:p>
      <w:pPr>
        <w:tabs>
          <w:tab w:val="left" w:pos="1080"/>
        </w:tabs>
        <w:spacing w:after="0"/>
        <w:rPr>
          <w:rFonts w:ascii="Times New Roman" w:hAnsi="Times New Roman" w:eastAsia="Times New Roman" w:cs="Times New Roman"/>
          <w:b/>
          <w:sz w:val="24"/>
          <w:szCs w:val="24"/>
          <w:lang w:val="sv-SE"/>
        </w:rPr>
      </w:pPr>
    </w:p>
    <w:p>
      <w:pPr>
        <w:tabs>
          <w:tab w:val="left" w:pos="1080"/>
        </w:tabs>
        <w:spacing w:after="0"/>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u w:val="single"/>
          <w:lang w:val="sv-SE"/>
        </w:rPr>
        <w:t>IRWAN PRAYITNO</w:t>
      </w:r>
      <w:r>
        <w:rPr>
          <w:rFonts w:ascii="Times New Roman" w:hAnsi="Times New Roman" w:eastAsia="Times New Roman" w:cs="Times New Roman"/>
          <w:b/>
          <w:sz w:val="24"/>
          <w:szCs w:val="24"/>
          <w:lang w:val="sv-SE"/>
        </w:rPr>
        <w:t xml:space="preserve">                                                                               </w:t>
      </w:r>
      <w:r>
        <w:rPr>
          <w:rFonts w:ascii="Times New Roman" w:hAnsi="Times New Roman" w:eastAsia="Times New Roman" w:cs="Times New Roman"/>
          <w:b/>
          <w:sz w:val="24"/>
          <w:szCs w:val="24"/>
          <w:u w:val="single"/>
          <w:lang w:val="sv-SE"/>
        </w:rPr>
        <w:t>NAZWIR, SH, M.Hum</w:t>
      </w:r>
    </w:p>
    <w:p>
      <w:pPr>
        <w:tabs>
          <w:tab w:val="left" w:pos="1080"/>
        </w:tabs>
        <w:spacing w:after="0"/>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 xml:space="preserve">                                       </w:t>
      </w:r>
      <w:r>
        <w:rPr>
          <w:rFonts w:ascii="Times New Roman" w:hAnsi="Times New Roman" w:eastAsia="Times New Roman" w:cs="Times New Roman"/>
          <w:sz w:val="24"/>
          <w:szCs w:val="24"/>
          <w:lang w:val="sv-SE"/>
        </w:rPr>
        <w:t xml:space="preserve">                                                                       NIP. 19641111 199003 1 008</w:t>
      </w:r>
    </w:p>
    <w:p>
      <w:pPr>
        <w:tabs>
          <w:tab w:val="left" w:pos="1080"/>
        </w:tabs>
        <w:spacing w:after="0"/>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 xml:space="preserve">                                                                                                                                                                                             </w:t>
      </w:r>
      <w:r>
        <w:rPr>
          <w:rFonts w:ascii="Times New Roman" w:hAnsi="Times New Roman" w:eastAsia="Times New Roman" w:cs="Times New Roman"/>
          <w:sz w:val="24"/>
          <w:szCs w:val="24"/>
          <w:lang w:val="sv-SE"/>
        </w:rPr>
        <w:br w:type="page"/>
      </w:r>
    </w:p>
    <w:p>
      <w:pPr>
        <w:rPr>
          <w:b/>
        </w:rPr>
      </w:pPr>
    </w:p>
    <w:sectPr>
      <w:pgSz w:w="11907" w:h="16840"/>
      <w:pgMar w:top="1008" w:right="1138" w:bottom="1138"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ernard MT Condensed">
    <w:altName w:val="Segoe Print"/>
    <w:panose1 w:val="020508060609050204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Black">
    <w:panose1 w:val="020B0A02040204020203"/>
    <w:charset w:val="00"/>
    <w:family w:val="auto"/>
    <w:pitch w:val="default"/>
    <w:sig w:usb0="E00002FF" w:usb1="4000E47F" w:usb2="0000002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1FFC"/>
    <w:multiLevelType w:val="multilevel"/>
    <w:tmpl w:val="38E31F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2331C5B"/>
    <w:multiLevelType w:val="multilevel"/>
    <w:tmpl w:val="62331C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F"/>
    <w:rsid w:val="0001445F"/>
    <w:rsid w:val="00021CF2"/>
    <w:rsid w:val="00036E5B"/>
    <w:rsid w:val="000377AD"/>
    <w:rsid w:val="00083077"/>
    <w:rsid w:val="00086528"/>
    <w:rsid w:val="000A4F3C"/>
    <w:rsid w:val="000A7E63"/>
    <w:rsid w:val="000C4DC7"/>
    <w:rsid w:val="000E4D8A"/>
    <w:rsid w:val="000F0D2C"/>
    <w:rsid w:val="001031F6"/>
    <w:rsid w:val="00123CA6"/>
    <w:rsid w:val="001354F4"/>
    <w:rsid w:val="001629B3"/>
    <w:rsid w:val="00166454"/>
    <w:rsid w:val="00172933"/>
    <w:rsid w:val="00192A6A"/>
    <w:rsid w:val="001A1145"/>
    <w:rsid w:val="001D2D4C"/>
    <w:rsid w:val="001E1AB7"/>
    <w:rsid w:val="001F7E04"/>
    <w:rsid w:val="00203F9B"/>
    <w:rsid w:val="00244154"/>
    <w:rsid w:val="002549E7"/>
    <w:rsid w:val="00285F95"/>
    <w:rsid w:val="002B75DE"/>
    <w:rsid w:val="002D5844"/>
    <w:rsid w:val="002F7902"/>
    <w:rsid w:val="00334D77"/>
    <w:rsid w:val="0034194F"/>
    <w:rsid w:val="00343568"/>
    <w:rsid w:val="003651CB"/>
    <w:rsid w:val="003761A8"/>
    <w:rsid w:val="003B47EE"/>
    <w:rsid w:val="003C0AE8"/>
    <w:rsid w:val="004022B4"/>
    <w:rsid w:val="00433293"/>
    <w:rsid w:val="00441FC3"/>
    <w:rsid w:val="004654B8"/>
    <w:rsid w:val="004867DB"/>
    <w:rsid w:val="004B1761"/>
    <w:rsid w:val="004C4A79"/>
    <w:rsid w:val="004D2580"/>
    <w:rsid w:val="004E7D8D"/>
    <w:rsid w:val="0052240E"/>
    <w:rsid w:val="005237AA"/>
    <w:rsid w:val="00533B04"/>
    <w:rsid w:val="005729C6"/>
    <w:rsid w:val="005B0079"/>
    <w:rsid w:val="005B59E6"/>
    <w:rsid w:val="00612E7C"/>
    <w:rsid w:val="006445DF"/>
    <w:rsid w:val="00672D86"/>
    <w:rsid w:val="006C241A"/>
    <w:rsid w:val="006E3CC0"/>
    <w:rsid w:val="006E6D85"/>
    <w:rsid w:val="006F71BE"/>
    <w:rsid w:val="007207F4"/>
    <w:rsid w:val="007265B2"/>
    <w:rsid w:val="00745F89"/>
    <w:rsid w:val="0076100B"/>
    <w:rsid w:val="007667A4"/>
    <w:rsid w:val="00771262"/>
    <w:rsid w:val="007A4766"/>
    <w:rsid w:val="007B3351"/>
    <w:rsid w:val="007B6574"/>
    <w:rsid w:val="007D55C4"/>
    <w:rsid w:val="007F18A0"/>
    <w:rsid w:val="008067B3"/>
    <w:rsid w:val="00810BDE"/>
    <w:rsid w:val="00856960"/>
    <w:rsid w:val="00887EBF"/>
    <w:rsid w:val="008C195B"/>
    <w:rsid w:val="008E7574"/>
    <w:rsid w:val="008F5C55"/>
    <w:rsid w:val="00904304"/>
    <w:rsid w:val="00927714"/>
    <w:rsid w:val="0094617A"/>
    <w:rsid w:val="00957743"/>
    <w:rsid w:val="009602B5"/>
    <w:rsid w:val="00961C56"/>
    <w:rsid w:val="0097666B"/>
    <w:rsid w:val="009769FC"/>
    <w:rsid w:val="00984BB4"/>
    <w:rsid w:val="009A17AC"/>
    <w:rsid w:val="009A56C1"/>
    <w:rsid w:val="009C0BEF"/>
    <w:rsid w:val="009E7C15"/>
    <w:rsid w:val="009F0EE6"/>
    <w:rsid w:val="009F1B51"/>
    <w:rsid w:val="00A36C3B"/>
    <w:rsid w:val="00A37662"/>
    <w:rsid w:val="00A50E69"/>
    <w:rsid w:val="00A52259"/>
    <w:rsid w:val="00A82F3F"/>
    <w:rsid w:val="00A944B4"/>
    <w:rsid w:val="00A947DF"/>
    <w:rsid w:val="00AC7B08"/>
    <w:rsid w:val="00AE75A7"/>
    <w:rsid w:val="00B10259"/>
    <w:rsid w:val="00B20446"/>
    <w:rsid w:val="00B34B70"/>
    <w:rsid w:val="00B63972"/>
    <w:rsid w:val="00B90205"/>
    <w:rsid w:val="00BF54FF"/>
    <w:rsid w:val="00BF72C1"/>
    <w:rsid w:val="00C06CB5"/>
    <w:rsid w:val="00C11C99"/>
    <w:rsid w:val="00C16611"/>
    <w:rsid w:val="00C45B0C"/>
    <w:rsid w:val="00C55060"/>
    <w:rsid w:val="00CC353A"/>
    <w:rsid w:val="00CE1CE4"/>
    <w:rsid w:val="00D1119F"/>
    <w:rsid w:val="00D15C8D"/>
    <w:rsid w:val="00D25B64"/>
    <w:rsid w:val="00D261CC"/>
    <w:rsid w:val="00D318E0"/>
    <w:rsid w:val="00D3616A"/>
    <w:rsid w:val="00D646FA"/>
    <w:rsid w:val="00D762A0"/>
    <w:rsid w:val="00D85E64"/>
    <w:rsid w:val="00DB633E"/>
    <w:rsid w:val="00DB77D9"/>
    <w:rsid w:val="00DD59D3"/>
    <w:rsid w:val="00DF0DE8"/>
    <w:rsid w:val="00E22436"/>
    <w:rsid w:val="00E23996"/>
    <w:rsid w:val="00E27007"/>
    <w:rsid w:val="00E31A54"/>
    <w:rsid w:val="00E37A72"/>
    <w:rsid w:val="00E45481"/>
    <w:rsid w:val="00E87D43"/>
    <w:rsid w:val="00E97F4F"/>
    <w:rsid w:val="00EB3923"/>
    <w:rsid w:val="00ED35BB"/>
    <w:rsid w:val="00EE7FC9"/>
    <w:rsid w:val="00F13CFB"/>
    <w:rsid w:val="00F42FDE"/>
    <w:rsid w:val="00F93A0F"/>
    <w:rsid w:val="00FA28A6"/>
    <w:rsid w:val="00FE5D61"/>
    <w:rsid w:val="1FF0203A"/>
    <w:rsid w:val="2DC2190F"/>
    <w:rsid w:val="47C87297"/>
    <w:rsid w:val="491958E9"/>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line="240" w:lineRule="auto"/>
    </w:pPr>
    <w:rPr>
      <w:rFonts w:ascii="Tahoma" w:hAnsi="Tahoma" w:cs="Tahoma"/>
      <w:sz w:val="16"/>
      <w:szCs w:val="16"/>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7">
    <w:name w:val="Balloon Text Char"/>
    <w:basedOn w:val="3"/>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609</Words>
  <Characters>3477</Characters>
  <Lines>28</Lines>
  <Paragraphs>8</Paragraphs>
  <TotalTime>1</TotalTime>
  <ScaleCrop>false</ScaleCrop>
  <LinksUpToDate>false</LinksUpToDate>
  <CharactersWithSpaces>4078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2019-03-25T01:43:00Z</dcterms:created>
  <dc:creator>user</dc:creator>
  <cp:lastModifiedBy>user</cp:lastModifiedBy>
  <cp:lastPrinted>2019-02-13T08:30:00Z</cp:lastPrinted>
  <dcterms:modified xsi:type="dcterms:W3CDTF">2019-04-22T00:56:52Z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