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947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00000"/>
        <w:tblLayout w:type="fixed"/>
        <w:tblLook w:val="04A0" w:firstRow="1" w:lastRow="0" w:firstColumn="1" w:lastColumn="0" w:noHBand="0" w:noVBand="1"/>
      </w:tblPr>
      <w:tblGrid>
        <w:gridCol w:w="1785"/>
        <w:gridCol w:w="7691"/>
      </w:tblGrid>
      <w:tr w:rsidR="007335FD">
        <w:trPr>
          <w:trHeight w:val="545"/>
        </w:trPr>
        <w:tc>
          <w:tcPr>
            <w:tcW w:w="1785" w:type="dxa"/>
            <w:shd w:val="clear" w:color="auto" w:fill="C00000"/>
          </w:tcPr>
          <w:p w:rsidR="007335FD" w:rsidRDefault="00815898">
            <w:pPr>
              <w:rPr>
                <w:rFonts w:ascii="Bernard MT Condensed" w:hAnsi="Bernard MT Condensed"/>
                <w:color w:val="FFFFFF" w:themeColor="background1"/>
                <w:sz w:val="52"/>
                <w:szCs w:val="52"/>
              </w:rPr>
            </w:pPr>
            <w:r>
              <w:rPr>
                <w:rFonts w:ascii="Segoe UI Black" w:hAnsi="Segoe UI Black" w:cs="Segoe UI Black"/>
                <w:color w:val="FFFFFF" w:themeColor="background1"/>
                <w:sz w:val="52"/>
                <w:szCs w:val="52"/>
              </w:rPr>
              <w:t>BAB I</w:t>
            </w:r>
          </w:p>
        </w:tc>
        <w:tc>
          <w:tcPr>
            <w:tcW w:w="7691" w:type="dxa"/>
            <w:shd w:val="clear" w:color="auto" w:fill="C00000"/>
          </w:tcPr>
          <w:p w:rsidR="007335FD" w:rsidRDefault="00815898">
            <w:pPr>
              <w:jc w:val="center"/>
              <w:rPr>
                <w:rFonts w:ascii="Bernard MT Condensed" w:hAnsi="Bernard MT Condensed"/>
                <w:color w:val="FFFFFF" w:themeColor="background1"/>
                <w:sz w:val="52"/>
                <w:szCs w:val="52"/>
              </w:rPr>
            </w:pPr>
            <w:r>
              <w:rPr>
                <w:rFonts w:ascii="Segoe UI Black" w:hAnsi="Segoe UI Black" w:cs="Segoe UI Black"/>
                <w:color w:val="FFFFFF" w:themeColor="background1"/>
                <w:sz w:val="52"/>
                <w:szCs w:val="52"/>
              </w:rPr>
              <w:t>PENDAHULUAN</w:t>
            </w:r>
          </w:p>
        </w:tc>
      </w:tr>
    </w:tbl>
    <w:p w:rsidR="007335FD" w:rsidRDefault="007335FD"/>
    <w:p w:rsidR="007335FD" w:rsidRDefault="00851EC5">
      <w:pPr>
        <w:pStyle w:val="ListParagraph"/>
        <w:spacing w:line="360" w:lineRule="auto"/>
        <w:ind w:left="0"/>
        <w:rPr>
          <w:rFonts w:ascii="Segoe UI Black" w:hAnsi="Segoe UI Black" w:cs="Segoe UI Black"/>
          <w:b/>
          <w:bCs/>
          <w:sz w:val="24"/>
          <w:szCs w:val="24"/>
        </w:rPr>
      </w:pPr>
      <w:r>
        <w:rPr>
          <w:rFonts w:ascii="Stencil" w:hAnsi="Stencil"/>
          <w:sz w:val="28"/>
          <w:szCs w:val="28"/>
        </w:rPr>
        <w:pict>
          <v:shapetype id="_x0000_t32" coordsize="21600,21600" o:spt="32" o:oned="t" path="m,l21600,21600e" filled="f">
            <v:path arrowok="t" fillok="f" o:connecttype="none"/>
            <o:lock v:ext="edit" shapetype="t"/>
          </v:shapetype>
          <v:shape id="_x0000_s1026" type="#_x0000_t32" style="position:absolute;margin-left:.15pt;margin-top:20.05pt;width:473pt;height:.6pt;z-index:251653120;mso-width-relative:page;mso-height-relative:page" strokecolor="#c00000" strokeweight="4.5pt"/>
        </w:pict>
      </w:r>
      <w:r w:rsidR="00815898">
        <w:rPr>
          <w:rFonts w:ascii="Segoe UI Black" w:hAnsi="Segoe UI Black" w:cs="Segoe UI Black"/>
          <w:b/>
          <w:bCs/>
          <w:sz w:val="24"/>
          <w:szCs w:val="24"/>
        </w:rPr>
        <w:t>1.1 Latar Belakang</w:t>
      </w:r>
      <w:r w:rsidR="00815898">
        <w:rPr>
          <w:rFonts w:ascii="Segoe UI Black" w:hAnsi="Segoe UI Black" w:cs="Segoe UI Black"/>
          <w:b/>
          <w:bCs/>
          <w:sz w:val="24"/>
          <w:szCs w:val="24"/>
        </w:rPr>
        <w:tab/>
      </w:r>
    </w:p>
    <w:p w:rsidR="007335FD" w:rsidRDefault="007335FD">
      <w:pPr>
        <w:pStyle w:val="ListParagraph"/>
        <w:spacing w:line="360" w:lineRule="auto"/>
        <w:ind w:left="360" w:firstLine="716"/>
        <w:jc w:val="both"/>
        <w:rPr>
          <w:rFonts w:cs="Aparajita"/>
          <w:sz w:val="24"/>
          <w:szCs w:val="24"/>
        </w:rPr>
      </w:pPr>
    </w:p>
    <w:p w:rsidR="007335FD" w:rsidRDefault="00815898">
      <w:pPr>
        <w:pStyle w:val="ListParagraph"/>
        <w:spacing w:line="360" w:lineRule="auto"/>
        <w:ind w:left="440" w:firstLine="440"/>
        <w:jc w:val="both"/>
        <w:rPr>
          <w:rFonts w:cs="Aparajita"/>
          <w:sz w:val="24"/>
          <w:szCs w:val="24"/>
        </w:rPr>
      </w:pPr>
      <w:r>
        <w:rPr>
          <w:rFonts w:cs="Aparajita"/>
          <w:sz w:val="24"/>
          <w:szCs w:val="24"/>
        </w:rPr>
        <w:t xml:space="preserve">Berdasarkan pasal 58 Undang-Undang Nomor 23 Tahun 2014 tentang Pemerintahan Daerah, salah satu asas umum penyelenggaraan negara adalah asas akuntabilitas. </w:t>
      </w:r>
      <w:proofErr w:type="gramStart"/>
      <w:r>
        <w:rPr>
          <w:rFonts w:cs="Aparajita"/>
          <w:sz w:val="24"/>
          <w:szCs w:val="24"/>
        </w:rPr>
        <w:t>Asas akuntabilitas adalah asas yang menentukan bahwa setiap kegiatan dan hasil akhir dari kegiatan penyelenggaraan negara harus dapat dipertanggungjawabkan kepada masyarakat atau rakyat sebagai pemegang kedaulatan tertinggi negara sesuai dengan ketentuan perundang-undangan yang berlaku.</w:t>
      </w:r>
      <w:proofErr w:type="gramEnd"/>
    </w:p>
    <w:p w:rsidR="007335FD" w:rsidRDefault="00815898">
      <w:pPr>
        <w:autoSpaceDE w:val="0"/>
        <w:autoSpaceDN w:val="0"/>
        <w:adjustRightInd w:val="0"/>
        <w:spacing w:after="0" w:line="360" w:lineRule="auto"/>
        <w:ind w:leftChars="199" w:left="438" w:firstLineChars="183" w:firstLine="439"/>
        <w:jc w:val="both"/>
        <w:rPr>
          <w:rFonts w:hAnsi="Tahoma" w:cs="Tahoma"/>
          <w:sz w:val="24"/>
          <w:szCs w:val="24"/>
        </w:rPr>
      </w:pPr>
      <w:r>
        <w:rPr>
          <w:rFonts w:hAnsi="Tahoma" w:cs="Tahoma"/>
          <w:sz w:val="24"/>
          <w:szCs w:val="24"/>
        </w:rPr>
        <w:t xml:space="preserve">Perwujudan kewajiban untuk mempertanggungjawabkan keberhasilan atau kegagalan pencapaian sasaran strategis Badan Kesatuan Bangsa dan Politik Provinsi Sumatera Barat yang diukur berdasarkan Indikator Kinerja Utama (IKU) dalam Renstra 2016-2021 dituangkan dalam Laporan Kinerja Badan Kesatuan Bangsa dan Politik Provinsi Sumatera Barat. Selain itu, Laporan Kinerja ini juga merupakan umpan balik untuk memperbaiki kinerja Badan Kesatuan Bangsa dan Politik di masa yang </w:t>
      </w:r>
      <w:proofErr w:type="gramStart"/>
      <w:r>
        <w:rPr>
          <w:rFonts w:hAnsi="Tahoma" w:cs="Tahoma"/>
          <w:sz w:val="24"/>
          <w:szCs w:val="24"/>
        </w:rPr>
        <w:t>akan</w:t>
      </w:r>
      <w:proofErr w:type="gramEnd"/>
      <w:r>
        <w:rPr>
          <w:rFonts w:hAnsi="Tahoma" w:cs="Tahoma"/>
          <w:sz w:val="24"/>
          <w:szCs w:val="24"/>
        </w:rPr>
        <w:t xml:space="preserve"> datang.</w:t>
      </w:r>
    </w:p>
    <w:p w:rsidR="007335FD" w:rsidRDefault="00815898">
      <w:pPr>
        <w:autoSpaceDE w:val="0"/>
        <w:autoSpaceDN w:val="0"/>
        <w:adjustRightInd w:val="0"/>
        <w:spacing w:after="0" w:line="360" w:lineRule="auto"/>
        <w:ind w:leftChars="199" w:left="438" w:firstLineChars="183" w:firstLine="439"/>
        <w:jc w:val="both"/>
        <w:rPr>
          <w:rFonts w:hAnsi="Tahoma" w:cs="Tahoma"/>
          <w:sz w:val="24"/>
          <w:szCs w:val="24"/>
        </w:rPr>
      </w:pPr>
      <w:r>
        <w:rPr>
          <w:rFonts w:hAnsi="Tahoma" w:cs="Tahoma"/>
          <w:sz w:val="24"/>
          <w:szCs w:val="24"/>
        </w:rPr>
        <w:t>Terwujudnya tata pemerintahan yang baik (</w:t>
      </w:r>
      <w:r>
        <w:rPr>
          <w:rFonts w:hAnsi="Tahoma" w:cs="Tahoma"/>
          <w:i/>
          <w:sz w:val="24"/>
          <w:szCs w:val="24"/>
        </w:rPr>
        <w:t>good governance</w:t>
      </w:r>
      <w:r>
        <w:rPr>
          <w:rFonts w:hAnsi="Tahoma" w:cs="Tahoma"/>
          <w:sz w:val="24"/>
          <w:szCs w:val="24"/>
        </w:rPr>
        <w:t xml:space="preserve">) merupakan harapan semua pihak, langkah untuk mewujudkan hal tersebut ditegaskan dalam berbagai peraturan perundang-undangan diantaranya adalah Instruksi Presiden Nomor 5 Tahun 2004 tentang Percepatan Pemberantasan Korupsi dan Perpres Nomor 29 Tahun 2014 tentang Sistem Akuntabilitas Kinerja Instansi Pemerintah. </w:t>
      </w:r>
      <w:proofErr w:type="gramStart"/>
      <w:r>
        <w:rPr>
          <w:rFonts w:hAnsi="Tahoma" w:cs="Tahoma"/>
          <w:sz w:val="24"/>
          <w:szCs w:val="24"/>
        </w:rPr>
        <w:t>Setiap Instansi Pemerintah diwajibkan mengimplementasikan Sistem Akuntabilitas Kinerja Instansi Pemerintah (Sistem AKIP) yang bertujuan untuk mendorong terciptanya Akuntabilitas Kinerja Instansi Pemerintah sebagai salah satu prasyarat untuk terciptanya pemerintahan yang baik.</w:t>
      </w:r>
      <w:proofErr w:type="gramEnd"/>
      <w:r>
        <w:rPr>
          <w:rFonts w:hAnsi="Tahoma" w:cs="Tahoma"/>
          <w:sz w:val="24"/>
          <w:szCs w:val="24"/>
        </w:rPr>
        <w:t xml:space="preserve"> </w:t>
      </w:r>
    </w:p>
    <w:p w:rsidR="007335FD" w:rsidRDefault="00815898">
      <w:pPr>
        <w:autoSpaceDE w:val="0"/>
        <w:autoSpaceDN w:val="0"/>
        <w:adjustRightInd w:val="0"/>
        <w:spacing w:after="0" w:line="360" w:lineRule="auto"/>
        <w:ind w:leftChars="199" w:left="438" w:firstLineChars="183" w:firstLine="439"/>
        <w:jc w:val="both"/>
        <w:rPr>
          <w:rFonts w:hAnsiTheme="minorEastAsia" w:cstheme="minorEastAsia"/>
          <w:sz w:val="24"/>
          <w:szCs w:val="24"/>
        </w:rPr>
      </w:pPr>
      <w:proofErr w:type="gramStart"/>
      <w:r>
        <w:rPr>
          <w:rFonts w:hAnsi="Tahoma" w:cs="Tahoma"/>
          <w:sz w:val="24"/>
          <w:szCs w:val="24"/>
        </w:rPr>
        <w:t>Sistem AKIP pada dasarnya adalah sistem manajemen berorientasi pada hasil, yang merupakan salah satu instrumen untuk mewujudkan instansi pemerintah yang akuntabel, sehingga dapat beroperasi secara efisien, efektif, transparan, serta responsif terhadap aspirasi masyarakat dan lingkungan.</w:t>
      </w:r>
      <w:proofErr w:type="gramEnd"/>
      <w:r>
        <w:rPr>
          <w:rFonts w:hAnsi="Tahoma" w:cs="Tahoma"/>
          <w:sz w:val="24"/>
          <w:szCs w:val="24"/>
        </w:rPr>
        <w:t xml:space="preserve"> Dengan menerapkan Sistem AKIP tersebut, setiap instansi pemerintah harus membuat Rencana Strategis (</w:t>
      </w:r>
      <w:r>
        <w:rPr>
          <w:rFonts w:hAnsi="Tahoma" w:cs="Tahoma"/>
          <w:i/>
          <w:sz w:val="24"/>
          <w:szCs w:val="24"/>
        </w:rPr>
        <w:t>Strategic Plan</w:t>
      </w:r>
      <w:r>
        <w:rPr>
          <w:rFonts w:hAnsi="Tahoma" w:cs="Tahoma"/>
          <w:sz w:val="24"/>
          <w:szCs w:val="24"/>
        </w:rPr>
        <w:t xml:space="preserve">), Rencana Kerja </w:t>
      </w:r>
      <w:r>
        <w:rPr>
          <w:rFonts w:hAnsi="Tahoma" w:cs="Tahoma"/>
          <w:sz w:val="24"/>
          <w:szCs w:val="24"/>
        </w:rPr>
        <w:lastRenderedPageBreak/>
        <w:t>(</w:t>
      </w:r>
      <w:r>
        <w:rPr>
          <w:rFonts w:hAnsi="Tahoma" w:cs="Tahoma"/>
          <w:i/>
          <w:sz w:val="24"/>
          <w:szCs w:val="24"/>
        </w:rPr>
        <w:t>Performance Plan</w:t>
      </w:r>
      <w:r>
        <w:rPr>
          <w:rFonts w:hAnsi="Tahoma" w:cs="Tahoma"/>
          <w:sz w:val="24"/>
          <w:szCs w:val="24"/>
        </w:rPr>
        <w:t>), Penetapan Kinerja (</w:t>
      </w:r>
      <w:r>
        <w:rPr>
          <w:rFonts w:hAnsi="Tahoma" w:cs="Tahoma"/>
          <w:i/>
          <w:sz w:val="24"/>
          <w:szCs w:val="24"/>
        </w:rPr>
        <w:t>Performance Agreement</w:t>
      </w:r>
      <w:r>
        <w:rPr>
          <w:rFonts w:hAnsi="Tahoma" w:cs="Tahoma"/>
          <w:sz w:val="24"/>
          <w:szCs w:val="24"/>
        </w:rPr>
        <w:t>) serta laporan Pertanggungjawaban Kinerja (</w:t>
      </w:r>
      <w:r>
        <w:rPr>
          <w:rFonts w:hAnsi="Tahoma" w:cs="Tahoma"/>
          <w:i/>
          <w:sz w:val="24"/>
          <w:szCs w:val="24"/>
        </w:rPr>
        <w:t>Perfo</w:t>
      </w:r>
      <w:r>
        <w:rPr>
          <w:rFonts w:hAnsiTheme="minorEastAsia" w:cstheme="minorEastAsia" w:hint="eastAsia"/>
          <w:i/>
          <w:sz w:val="24"/>
          <w:szCs w:val="24"/>
        </w:rPr>
        <w:t>mance Accountability Report</w:t>
      </w:r>
      <w:r>
        <w:rPr>
          <w:rFonts w:hAnsiTheme="minorEastAsia" w:cstheme="minorEastAsia" w:hint="eastAsia"/>
          <w:sz w:val="24"/>
          <w:szCs w:val="24"/>
        </w:rPr>
        <w:t xml:space="preserve">). </w:t>
      </w:r>
    </w:p>
    <w:p w:rsidR="007335FD" w:rsidRDefault="00815898">
      <w:pPr>
        <w:autoSpaceDE w:val="0"/>
        <w:autoSpaceDN w:val="0"/>
        <w:adjustRightInd w:val="0"/>
        <w:spacing w:after="0" w:line="360" w:lineRule="auto"/>
        <w:ind w:leftChars="199" w:left="438" w:firstLineChars="183" w:firstLine="439"/>
        <w:jc w:val="both"/>
        <w:rPr>
          <w:rFonts w:hAnsiTheme="minorEastAsia" w:cstheme="minorEastAsia"/>
          <w:sz w:val="24"/>
          <w:szCs w:val="24"/>
        </w:rPr>
      </w:pPr>
      <w:r>
        <w:rPr>
          <w:rFonts w:hAnsiTheme="minorEastAsia" w:cstheme="minorEastAsia" w:hint="eastAsia"/>
          <w:sz w:val="24"/>
          <w:szCs w:val="24"/>
        </w:rPr>
        <w:t>Laporan Kinerja di</w:t>
      </w:r>
      <w:r>
        <w:rPr>
          <w:rFonts w:hAnsiTheme="minorEastAsia" w:cstheme="minorEastAsia"/>
          <w:sz w:val="24"/>
          <w:szCs w:val="24"/>
        </w:rPr>
        <w:t>susun</w:t>
      </w:r>
      <w:r>
        <w:rPr>
          <w:rFonts w:hAnsiTheme="minorEastAsia" w:cstheme="minorEastAsia" w:hint="eastAsia"/>
          <w:sz w:val="24"/>
          <w:szCs w:val="24"/>
        </w:rPr>
        <w:t xml:space="preserve"> dalam rangka mempertanggungjawabkan pelaksanaan tugas pokok dan fungsi serta pengelolaan sumberdaya dan pelaksanaan kebijakan yang dibebankan kepada setiap </w:t>
      </w:r>
      <w:r>
        <w:rPr>
          <w:rFonts w:hAnsiTheme="minorEastAsia" w:cstheme="minorEastAsia"/>
          <w:sz w:val="24"/>
          <w:szCs w:val="24"/>
        </w:rPr>
        <w:t>Satuan Kerja</w:t>
      </w:r>
      <w:r>
        <w:rPr>
          <w:rFonts w:hAnsiTheme="minorEastAsia" w:cstheme="minorEastAsia" w:hint="eastAsia"/>
          <w:sz w:val="24"/>
          <w:szCs w:val="24"/>
        </w:rPr>
        <w:t xml:space="preserve"> Perangkat Daerah</w:t>
      </w:r>
      <w:r>
        <w:rPr>
          <w:rFonts w:hAnsiTheme="minorEastAsia" w:cstheme="minorEastAsia"/>
          <w:sz w:val="24"/>
          <w:szCs w:val="24"/>
        </w:rPr>
        <w:t xml:space="preserve"> (SKPD)</w:t>
      </w:r>
      <w:r>
        <w:rPr>
          <w:rFonts w:hAnsiTheme="minorEastAsia" w:cstheme="minorEastAsia" w:hint="eastAsia"/>
          <w:sz w:val="24"/>
          <w:szCs w:val="24"/>
        </w:rPr>
        <w:t xml:space="preserve"> dengan suatu sistem yang diatur secara jelas guna mendorong terciptanya keterbukaan kepada masyarakat luar dengan harapan akan mampu meningkatkan partisipasi masyarakat secara berkesinambungan.</w:t>
      </w:r>
    </w:p>
    <w:p w:rsidR="007335FD" w:rsidRDefault="00815898">
      <w:pPr>
        <w:autoSpaceDE w:val="0"/>
        <w:autoSpaceDN w:val="0"/>
        <w:adjustRightInd w:val="0"/>
        <w:spacing w:after="0" w:line="360" w:lineRule="auto"/>
        <w:ind w:leftChars="199" w:left="438" w:firstLineChars="183" w:firstLine="439"/>
        <w:jc w:val="both"/>
        <w:rPr>
          <w:rFonts w:cs="Aparajita"/>
          <w:sz w:val="24"/>
          <w:szCs w:val="24"/>
        </w:rPr>
      </w:pPr>
      <w:r>
        <w:rPr>
          <w:rFonts w:cs="Aparajita"/>
          <w:sz w:val="24"/>
          <w:szCs w:val="24"/>
        </w:rPr>
        <w:t xml:space="preserve">Ditegaskan dalam Peraturan Menteri Pendayagunaan Aparatur Negara dan Reformasi Birokrasi No 53 Tahun 2014 tentang Petunjuk Teknis Perjanjian Kinerja, Pelaporan Kinerja dan Tata Cara Reviu Atas Laporan Kinerja Instansi Pemerintah, Kepala SKPD menyusun laporan kinerja tahunan berdasarkan perjanjian kinerja  yang disepakati dan menyampaikannya kepada Gubernur/Bupati/Walikota, paling lambat 2 (dua) bulan setelah tahun anggaran berakhir. </w:t>
      </w:r>
    </w:p>
    <w:p w:rsidR="007335FD" w:rsidRDefault="00815898">
      <w:pPr>
        <w:autoSpaceDE w:val="0"/>
        <w:autoSpaceDN w:val="0"/>
        <w:adjustRightInd w:val="0"/>
        <w:spacing w:after="0" w:line="360" w:lineRule="auto"/>
        <w:ind w:leftChars="199" w:left="438" w:firstLineChars="183" w:firstLine="439"/>
        <w:jc w:val="both"/>
        <w:rPr>
          <w:rFonts w:hAnsi="Tahoma" w:cs="Tahoma"/>
          <w:sz w:val="24"/>
          <w:szCs w:val="24"/>
        </w:rPr>
      </w:pPr>
      <w:r>
        <w:rPr>
          <w:rFonts w:hAnsi="Tahoma" w:cs="Tahoma"/>
          <w:sz w:val="24"/>
          <w:szCs w:val="24"/>
        </w:rPr>
        <w:t>Sehubungan dengan hal tersebut diatas, sebagai perwujudan pertanggungjawaban keberhasilan/kegagalan pelaksanaan misi organisasi dalam mencapai tujuan dan sasaran yang telah ditetapkan maka disusun Laporan Kinerja Badan Kesatuan Bangsa dan Politik Provinsi Sumatera Barat Tahun 2018 sebagai perwujudan akuntabilitas kinerja yang dicerminkan dari hasil pencapaian kinerja berdasarkan visi, misi, tujuan dan sasaran. Laporan Kinerja Badan Kesatuan Bangsa dan Politik Provinsi Sumatera Barat disusun berdasarkan Rencana Pembangunan Jangka Menengah Daerah (RPJMD) Pemerintah Provinsi Sumatera Barat Tahun 2016-2021 dan Renstra Badan Kesatuan Bangsa dan Politik Tahun 2016-2021</w:t>
      </w:r>
    </w:p>
    <w:p w:rsidR="007335FD" w:rsidRDefault="007335FD">
      <w:pPr>
        <w:autoSpaceDE w:val="0"/>
        <w:autoSpaceDN w:val="0"/>
        <w:adjustRightInd w:val="0"/>
        <w:spacing w:after="0" w:line="360" w:lineRule="auto"/>
        <w:ind w:leftChars="199" w:left="438" w:firstLineChars="183" w:firstLine="439"/>
        <w:jc w:val="both"/>
        <w:rPr>
          <w:rFonts w:hAnsi="Tahoma" w:cs="Tahoma"/>
          <w:sz w:val="24"/>
          <w:szCs w:val="24"/>
        </w:rPr>
      </w:pP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pict>
          <v:shape id="_x0000_s1027" type="#_x0000_t32" style="position:absolute;left:0;text-align:left;margin-left:-2.3pt;margin-top:20.4pt;width:468.05pt;height:1pt;flip:y;z-index:251656192;mso-width-relative:page;mso-height-relative:page" strokecolor="#c00000" strokeweight="4.5pt"/>
        </w:pict>
      </w:r>
      <w:r w:rsidR="00815898">
        <w:rPr>
          <w:rFonts w:ascii="Segoe UI Black" w:hAnsi="Segoe UI Black" w:cs="Segoe UI Black"/>
          <w:b/>
          <w:bCs/>
          <w:sz w:val="24"/>
          <w:szCs w:val="24"/>
        </w:rPr>
        <w:t>1.2. Maksud dan Tujuan</w:t>
      </w:r>
    </w:p>
    <w:p w:rsidR="007335FD" w:rsidRDefault="007335FD" w:rsidP="00815898">
      <w:pPr>
        <w:pStyle w:val="ListParagraph"/>
        <w:spacing w:line="360" w:lineRule="auto"/>
        <w:ind w:leftChars="199" w:left="438" w:right="-21" w:firstLineChars="183" w:firstLine="395"/>
        <w:jc w:val="both"/>
        <w:rPr>
          <w:rFonts w:ascii="Tahoma" w:eastAsia="Calibri" w:hAnsi="Tahoma" w:cs="Tahoma"/>
          <w:bCs/>
          <w:spacing w:val="-4"/>
        </w:rPr>
      </w:pPr>
    </w:p>
    <w:p w:rsidR="007335FD" w:rsidRDefault="00815898" w:rsidP="00815898">
      <w:pPr>
        <w:pStyle w:val="ListParagraph"/>
        <w:spacing w:line="360" w:lineRule="auto"/>
        <w:ind w:leftChars="199" w:left="438" w:right="-21" w:firstLineChars="221" w:firstLine="477"/>
        <w:jc w:val="both"/>
        <w:rPr>
          <w:rFonts w:eastAsia="Calibri" w:hAnsi="Tahoma" w:cs="Tahoma"/>
          <w:bCs/>
          <w:color w:val="000000" w:themeColor="text1"/>
          <w:spacing w:val="-4"/>
          <w:sz w:val="24"/>
          <w:szCs w:val="24"/>
        </w:rPr>
      </w:pPr>
      <w:r>
        <w:rPr>
          <w:rFonts w:eastAsia="Calibri" w:hAnsi="Tahoma" w:cs="Tahoma"/>
          <w:bCs/>
          <w:color w:val="000000" w:themeColor="text1"/>
          <w:spacing w:val="-4"/>
        </w:rPr>
        <w:t>M</w:t>
      </w:r>
      <w:r>
        <w:rPr>
          <w:rFonts w:eastAsia="Calibri" w:hAnsi="Tahoma" w:cs="Tahoma"/>
          <w:bCs/>
          <w:color w:val="000000" w:themeColor="text1"/>
          <w:spacing w:val="-4"/>
          <w:sz w:val="24"/>
          <w:szCs w:val="24"/>
        </w:rPr>
        <w:t xml:space="preserve">aksud penyusunan </w:t>
      </w:r>
      <w:r>
        <w:rPr>
          <w:rFonts w:hAnsi="Tahoma" w:cs="Tahoma"/>
          <w:color w:val="000000" w:themeColor="text1"/>
          <w:spacing w:val="-4"/>
          <w:sz w:val="24"/>
          <w:szCs w:val="24"/>
        </w:rPr>
        <w:t xml:space="preserve">Laporan Kinerja </w:t>
      </w:r>
      <w:r>
        <w:rPr>
          <w:rFonts w:eastAsia="Calibri" w:hAnsi="Tahoma" w:cs="Tahoma"/>
          <w:bCs/>
          <w:color w:val="000000" w:themeColor="text1"/>
          <w:spacing w:val="-4"/>
          <w:sz w:val="24"/>
          <w:szCs w:val="24"/>
        </w:rPr>
        <w:t>Badan Kesatuan Bangsa dan Politik Provinsi Sumatera Barat Tahun 2018 adalah memberikan pertanggungjawaban keberhasilan ataupun kegagalan pelaksanaan kegiatan Tahun 2018 kepada Gubernur Sumatera Barat.</w:t>
      </w:r>
    </w:p>
    <w:p w:rsidR="007335FD" w:rsidRDefault="00815898">
      <w:pPr>
        <w:pStyle w:val="ListParagraph"/>
        <w:spacing w:line="360" w:lineRule="auto"/>
        <w:ind w:leftChars="199" w:left="438" w:right="-21" w:firstLineChars="183" w:firstLine="439"/>
        <w:jc w:val="both"/>
        <w:rPr>
          <w:rFonts w:eastAsia="Calibri" w:hAnsi="Tahoma" w:cs="Tahoma"/>
          <w:bCs/>
          <w:sz w:val="24"/>
          <w:szCs w:val="24"/>
        </w:rPr>
      </w:pPr>
      <w:r>
        <w:rPr>
          <w:rFonts w:hAnsi="Tahoma" w:cs="Tahoma"/>
          <w:color w:val="000000" w:themeColor="text1"/>
          <w:sz w:val="24"/>
          <w:szCs w:val="24"/>
        </w:rPr>
        <w:lastRenderedPageBreak/>
        <w:t>Tuj</w:t>
      </w:r>
      <w:r>
        <w:rPr>
          <w:rFonts w:hAnsi="Tahoma" w:cs="Tahoma"/>
          <w:sz w:val="24"/>
          <w:szCs w:val="24"/>
        </w:rPr>
        <w:t xml:space="preserve">uan penyusunan Laporan Kinerja </w:t>
      </w:r>
      <w:r>
        <w:rPr>
          <w:rFonts w:eastAsia="Calibri" w:hAnsi="Tahoma" w:cs="Tahoma"/>
          <w:bCs/>
          <w:sz w:val="24"/>
          <w:szCs w:val="24"/>
        </w:rPr>
        <w:t xml:space="preserve">Badan Kesatuan Bangsa dan Politik Provinsi Sumatera Barat </w:t>
      </w:r>
      <w:r>
        <w:rPr>
          <w:rFonts w:eastAsia="Calibri" w:hAnsi="Tahoma" w:cs="Tahoma"/>
          <w:bCs/>
          <w:spacing w:val="-4"/>
          <w:sz w:val="24"/>
          <w:szCs w:val="24"/>
        </w:rPr>
        <w:t xml:space="preserve">Tahun 2018 </w:t>
      </w:r>
      <w:r>
        <w:rPr>
          <w:rFonts w:eastAsia="Calibri" w:hAnsi="Tahoma" w:cs="Tahoma"/>
          <w:bCs/>
          <w:sz w:val="24"/>
          <w:szCs w:val="24"/>
        </w:rPr>
        <w:t xml:space="preserve">adalah </w:t>
      </w:r>
      <w:r>
        <w:rPr>
          <w:rFonts w:hAnsi="Tahoma" w:cs="Tahoma"/>
          <w:sz w:val="24"/>
          <w:szCs w:val="24"/>
        </w:rPr>
        <w:t xml:space="preserve">mewujudkan akuntabilitas kinerja pelaksanaan tugas pokok dan fungsi </w:t>
      </w:r>
      <w:r>
        <w:rPr>
          <w:rFonts w:eastAsia="Calibri" w:hAnsi="Tahoma" w:cs="Tahoma"/>
          <w:bCs/>
          <w:sz w:val="24"/>
          <w:szCs w:val="24"/>
        </w:rPr>
        <w:t>Badan Kesatuan Bangsa dan Politik Provinsi Sumatera Barat.</w:t>
      </w: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pict>
          <v:shape id="_x0000_s1033" type="#_x0000_t32" style="position:absolute;left:0;text-align:left;margin-left:-2.85pt;margin-top:21.5pt;width:473.3pt;height:.45pt;flip:y;z-index:251729920;mso-width-relative:page;mso-height-relative:page" strokecolor="#c00000" strokeweight="4.5pt"/>
        </w:pict>
      </w:r>
      <w:r w:rsidR="00815898">
        <w:rPr>
          <w:rFonts w:ascii="Segoe UI Black" w:hAnsi="Segoe UI Black" w:cs="Segoe UI Black"/>
          <w:b/>
          <w:bCs/>
          <w:sz w:val="24"/>
          <w:szCs w:val="24"/>
        </w:rPr>
        <w:t>1.3. Gambaran Umum Badan Kesbangpol</w:t>
      </w:r>
    </w:p>
    <w:p w:rsidR="007335FD" w:rsidRDefault="007335FD">
      <w:pPr>
        <w:autoSpaceDE w:val="0"/>
        <w:autoSpaceDN w:val="0"/>
        <w:adjustRightInd w:val="0"/>
        <w:spacing w:after="0" w:line="360" w:lineRule="auto"/>
        <w:jc w:val="both"/>
        <w:rPr>
          <w:rFonts w:ascii="Segoe UI Black" w:hAnsi="Segoe UI Black" w:cs="Segoe UI Black"/>
          <w:b/>
          <w:bCs/>
          <w:sz w:val="24"/>
          <w:szCs w:val="24"/>
        </w:rPr>
      </w:pPr>
    </w:p>
    <w:p w:rsidR="007335FD" w:rsidRDefault="00815898">
      <w:pPr>
        <w:autoSpaceDE w:val="0"/>
        <w:autoSpaceDN w:val="0"/>
        <w:adjustRightInd w:val="0"/>
        <w:spacing w:after="0" w:line="360" w:lineRule="auto"/>
        <w:jc w:val="both"/>
        <w:rPr>
          <w:rFonts w:ascii="Segoe UI Black" w:hAnsi="Segoe UI Black" w:cs="Segoe UI Black"/>
          <w:b/>
          <w:bCs/>
          <w:sz w:val="24"/>
          <w:szCs w:val="24"/>
        </w:rPr>
      </w:pPr>
      <w:r>
        <w:rPr>
          <w:rFonts w:ascii="Segoe UI Black" w:hAnsi="Segoe UI Black" w:cs="Segoe UI Black"/>
          <w:b/>
          <w:bCs/>
          <w:sz w:val="24"/>
          <w:szCs w:val="24"/>
        </w:rPr>
        <w:t>1.3.1 Tugas Pokok dan Fungsi</w:t>
      </w:r>
    </w:p>
    <w:p w:rsidR="007335FD" w:rsidRDefault="00815898">
      <w:pPr>
        <w:spacing w:line="360" w:lineRule="auto"/>
        <w:ind w:leftChars="200" w:left="440" w:firstLineChars="183" w:firstLine="439"/>
        <w:jc w:val="both"/>
        <w:rPr>
          <w:rFonts w:cs="Aparajita"/>
        </w:rPr>
      </w:pPr>
      <w:r>
        <w:rPr>
          <w:rFonts w:eastAsia="Batang" w:cs="Aparajita"/>
          <w:sz w:val="24"/>
        </w:rPr>
        <w:t>Berdasarkan Peraturan Daerah Provinsi Sumatera Barat Nomor 10 Tahun 2012 tentang Pembentukan Organisasi dan Tata Kerja Inspektorat, Bappeda dan Lembaga Teknis Daerah Provinsi Sumatera Barat, Badan Kesatuan Bangsa dan Politik Provinsi Sumatera Barat mempunyai tugas membantu Gubernur dalam melaksanakan penyusunan dan pelaksanaan kebijakan daerah di bidang kesatuan bangsa dan politik.</w:t>
      </w:r>
    </w:p>
    <w:p w:rsidR="007335FD" w:rsidRDefault="00815898">
      <w:pPr>
        <w:spacing w:line="360" w:lineRule="auto"/>
        <w:ind w:leftChars="200" w:left="440" w:firstLineChars="183" w:firstLine="439"/>
        <w:jc w:val="both"/>
        <w:rPr>
          <w:rFonts w:eastAsia="Batang" w:cs="Aparajita"/>
          <w:sz w:val="24"/>
        </w:rPr>
      </w:pPr>
      <w:proofErr w:type="gramStart"/>
      <w:r>
        <w:rPr>
          <w:rFonts w:eastAsia="Batang" w:cs="Aparajita"/>
          <w:sz w:val="24"/>
        </w:rPr>
        <w:t>Sesuai dengan pasal 19 Peraturan Daerah dimaksud, Badan Kesatuan Bangsa dan Politik Provinsi Sumatera Barat merupakan unsur pendukung tugas pemerintah daerah di Bidang Kesatuan Bangsa dan Politik.</w:t>
      </w:r>
      <w:proofErr w:type="gramEnd"/>
      <w:r>
        <w:rPr>
          <w:rFonts w:eastAsia="Batang" w:cs="Aparajita"/>
          <w:sz w:val="24"/>
        </w:rPr>
        <w:t xml:space="preserve"> Badan Kesbangpol dipimpin oleh seorang Kepala Badan yang berkedudukan di bawah dan bertanggung jawab kepada Gubernur melalui Sekretaris Daerah</w:t>
      </w:r>
    </w:p>
    <w:p w:rsidR="007335FD" w:rsidRDefault="00815898">
      <w:pPr>
        <w:spacing w:line="360" w:lineRule="auto"/>
        <w:ind w:leftChars="200" w:left="440" w:firstLineChars="183" w:firstLine="439"/>
        <w:jc w:val="both"/>
        <w:rPr>
          <w:rFonts w:eastAsia="Batang" w:cs="Aparajita"/>
          <w:sz w:val="24"/>
          <w:szCs w:val="24"/>
          <w:lang w:val="id-ID"/>
        </w:rPr>
      </w:pPr>
      <w:r>
        <w:rPr>
          <w:rFonts w:eastAsia="Batang" w:cs="Aparajita"/>
          <w:sz w:val="24"/>
          <w:szCs w:val="24"/>
        </w:rPr>
        <w:t xml:space="preserve">Dalam menyelenggarakan tugas </w:t>
      </w:r>
      <w:r>
        <w:rPr>
          <w:rFonts w:eastAsia="Batang" w:cs="Aparajita"/>
          <w:sz w:val="24"/>
          <w:szCs w:val="24"/>
          <w:lang w:val="id-ID"/>
        </w:rPr>
        <w:t xml:space="preserve">dimaksud, Badan Kesbangpol mempunyai fungsi sebagai </w:t>
      </w:r>
      <w:proofErr w:type="gramStart"/>
      <w:r>
        <w:rPr>
          <w:rFonts w:eastAsia="Batang" w:cs="Aparajita"/>
          <w:sz w:val="24"/>
          <w:szCs w:val="24"/>
          <w:lang w:val="id-ID"/>
        </w:rPr>
        <w:t>berikut :</w:t>
      </w:r>
      <w:proofErr w:type="gramEnd"/>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rPr>
        <w:t xml:space="preserve">Perumusan kebijakan teknis di bidang kesatuan bangsa dan </w:t>
      </w:r>
      <w:r>
        <w:rPr>
          <w:rFonts w:eastAsia="Batang" w:cs="Aparajita"/>
          <w:sz w:val="24"/>
          <w:szCs w:val="24"/>
          <w:lang w:val="id-ID"/>
        </w:rPr>
        <w:t>politik;</w:t>
      </w:r>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rPr>
        <w:t>Penyelenggaraan urusan pemerintahan dan pelayanan umum bidang kesatuan bangsa dan politik</w:t>
      </w:r>
      <w:r>
        <w:rPr>
          <w:rFonts w:eastAsia="Batang" w:cs="Aparajita"/>
          <w:sz w:val="24"/>
          <w:szCs w:val="24"/>
          <w:lang w:val="id-ID"/>
        </w:rPr>
        <w:t xml:space="preserve"> </w:t>
      </w:r>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rPr>
        <w:t>Pembinaan dan fasilitas bidang kesatuan bangsa dan politik di lingkungan Provinsi dan Kab/Kota</w:t>
      </w:r>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rPr>
        <w:t>Pelaksanaan keseketariatan Badan</w:t>
      </w:r>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rPr>
        <w:t>Pelaksanaan tugas di bidang idiologi dan wasbang, kewaspadaan, pembinaan kemasyarakatan dan politik dalam negeri</w:t>
      </w:r>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rPr>
        <w:t>Pemantauan,evaluasi, dan pelaporan di bidang kesatuan bangsa dan politik  dan</w:t>
      </w:r>
    </w:p>
    <w:p w:rsidR="007335FD" w:rsidRDefault="00815898">
      <w:pPr>
        <w:numPr>
          <w:ilvl w:val="0"/>
          <w:numId w:val="1"/>
        </w:numPr>
        <w:spacing w:after="0" w:line="360" w:lineRule="auto"/>
        <w:ind w:left="880" w:hanging="440"/>
        <w:jc w:val="both"/>
        <w:rPr>
          <w:rFonts w:eastAsia="Batang" w:cs="Aparajita"/>
          <w:sz w:val="24"/>
          <w:szCs w:val="24"/>
        </w:rPr>
      </w:pPr>
      <w:r>
        <w:rPr>
          <w:rFonts w:eastAsia="Batang" w:cs="Aparajita"/>
          <w:sz w:val="24"/>
          <w:szCs w:val="24"/>
          <w:lang w:val="fi-FI"/>
        </w:rPr>
        <w:t>Pelaksanaan tugas kedinasan lain yang diberikan oleh Gubernur sesuai dengan tugas dan fungsinya</w:t>
      </w:r>
      <w:r>
        <w:rPr>
          <w:rFonts w:eastAsia="Batang" w:cs="Aparajita"/>
          <w:sz w:val="24"/>
          <w:szCs w:val="24"/>
        </w:rPr>
        <w:t>.</w:t>
      </w:r>
    </w:p>
    <w:p w:rsidR="007335FD" w:rsidRDefault="00815898" w:rsidP="00815898">
      <w:pPr>
        <w:spacing w:line="360" w:lineRule="auto"/>
        <w:ind w:left="429" w:right="-21" w:firstLineChars="187" w:firstLine="449"/>
        <w:jc w:val="both"/>
        <w:rPr>
          <w:rFonts w:eastAsia="Calibri" w:hAnsi="Tahoma" w:cs="Tahoma"/>
          <w:bCs/>
          <w:sz w:val="24"/>
          <w:szCs w:val="24"/>
        </w:rPr>
      </w:pPr>
      <w:r>
        <w:rPr>
          <w:rFonts w:eastAsia="Calibri" w:hAnsi="Tahoma" w:cs="Tahoma"/>
          <w:bCs/>
          <w:sz w:val="24"/>
          <w:szCs w:val="24"/>
        </w:rPr>
        <w:lastRenderedPageBreak/>
        <w:t xml:space="preserve">Untuk melaksanakan tugas pokok dan fungsi Badan Kesatuan Bangsa dan Politik Provinsi Sumatera Barat, sebagaimana diatur </w:t>
      </w:r>
      <w:r>
        <w:rPr>
          <w:rFonts w:cs="Tahoma"/>
          <w:sz w:val="24"/>
          <w:szCs w:val="24"/>
          <w:lang w:val="sv-SE"/>
        </w:rPr>
        <w:t xml:space="preserve">Peraturan Gubernur Sumatera Barat Nomor </w:t>
      </w:r>
      <w:r>
        <w:rPr>
          <w:rFonts w:cs="Tahoma"/>
          <w:sz w:val="24"/>
          <w:szCs w:val="24"/>
        </w:rPr>
        <w:t>37</w:t>
      </w:r>
      <w:r>
        <w:rPr>
          <w:rFonts w:cs="Tahoma"/>
          <w:sz w:val="24"/>
          <w:szCs w:val="24"/>
          <w:lang w:val="sv-SE"/>
        </w:rPr>
        <w:t xml:space="preserve"> Tahun 201</w:t>
      </w:r>
      <w:r>
        <w:rPr>
          <w:rFonts w:cs="Tahoma"/>
          <w:sz w:val="24"/>
          <w:szCs w:val="24"/>
        </w:rPr>
        <w:t>7</w:t>
      </w:r>
      <w:r>
        <w:rPr>
          <w:rFonts w:cs="Tahoma"/>
          <w:sz w:val="24"/>
          <w:szCs w:val="24"/>
          <w:lang w:val="sv-SE"/>
        </w:rPr>
        <w:t xml:space="preserve"> tentang </w:t>
      </w:r>
      <w:r>
        <w:rPr>
          <w:rFonts w:cs="Tahoma"/>
          <w:sz w:val="24"/>
          <w:szCs w:val="24"/>
        </w:rPr>
        <w:t xml:space="preserve">Uraian Tugas Pokok dan Fungsi </w:t>
      </w:r>
      <w:r>
        <w:rPr>
          <w:rFonts w:cs="Tahoma"/>
          <w:sz w:val="24"/>
          <w:szCs w:val="24"/>
          <w:lang w:val="sv-SE"/>
        </w:rPr>
        <w:t>Badan Kesatuan Bangsa dan Politik Provinsi Sumatera Barat</w:t>
      </w:r>
      <w:r>
        <w:rPr>
          <w:rFonts w:cs="Tahoma"/>
          <w:sz w:val="24"/>
          <w:szCs w:val="24"/>
        </w:rPr>
        <w:t xml:space="preserve">, </w:t>
      </w:r>
      <w:r>
        <w:rPr>
          <w:rFonts w:eastAsia="Calibri" w:hAnsi="Tahoma" w:cs="Tahoma"/>
          <w:bCs/>
          <w:sz w:val="24"/>
          <w:szCs w:val="24"/>
        </w:rPr>
        <w:t>maka struktur organisasi yang dibentuk terdiri dari jabatan sebagai berikut:</w:t>
      </w:r>
    </w:p>
    <w:p w:rsidR="007335FD" w:rsidRDefault="00815898" w:rsidP="00815898">
      <w:pPr>
        <w:numPr>
          <w:ilvl w:val="0"/>
          <w:numId w:val="2"/>
        </w:numPr>
        <w:spacing w:after="0" w:line="360" w:lineRule="auto"/>
        <w:ind w:leftChars="200" w:left="877" w:hangingChars="182" w:hanging="437"/>
        <w:jc w:val="both"/>
        <w:rPr>
          <w:rFonts w:eastAsia="Batang" w:cs="Aparajita"/>
          <w:sz w:val="24"/>
          <w:szCs w:val="24"/>
          <w:lang w:val="sv-SE"/>
        </w:rPr>
      </w:pPr>
      <w:r>
        <w:rPr>
          <w:rFonts w:eastAsia="Batang" w:cs="Aparajita"/>
          <w:sz w:val="24"/>
          <w:szCs w:val="24"/>
          <w:lang w:val="sv-SE"/>
        </w:rPr>
        <w:t>Kepala Badan</w:t>
      </w:r>
    </w:p>
    <w:p w:rsidR="007335FD" w:rsidRDefault="00815898" w:rsidP="00815898">
      <w:pPr>
        <w:numPr>
          <w:ilvl w:val="0"/>
          <w:numId w:val="2"/>
        </w:numPr>
        <w:spacing w:after="0" w:line="360" w:lineRule="auto"/>
        <w:ind w:leftChars="200" w:left="877" w:hangingChars="182" w:hanging="437"/>
        <w:jc w:val="both"/>
        <w:rPr>
          <w:rFonts w:eastAsia="Batang" w:cs="Aparajita"/>
          <w:sz w:val="24"/>
          <w:szCs w:val="24"/>
        </w:rPr>
      </w:pPr>
      <w:r>
        <w:rPr>
          <w:rFonts w:eastAsia="Batang" w:cs="Aparajita"/>
          <w:sz w:val="24"/>
          <w:szCs w:val="24"/>
          <w:lang w:val="sv-SE"/>
        </w:rPr>
        <w:t xml:space="preserve">Sekretariat : </w:t>
      </w:r>
    </w:p>
    <w:p w:rsidR="007335FD" w:rsidRDefault="00815898" w:rsidP="00815898">
      <w:pPr>
        <w:numPr>
          <w:ilvl w:val="0"/>
          <w:numId w:val="2"/>
        </w:numPr>
        <w:spacing w:after="0" w:line="360" w:lineRule="auto"/>
        <w:ind w:leftChars="200" w:left="877" w:hangingChars="182" w:hanging="437"/>
        <w:jc w:val="both"/>
        <w:rPr>
          <w:rFonts w:eastAsia="Batang" w:cs="Aparajita"/>
          <w:sz w:val="24"/>
          <w:szCs w:val="24"/>
        </w:rPr>
      </w:pPr>
      <w:r>
        <w:rPr>
          <w:rFonts w:eastAsia="Batang" w:cs="Aparajita"/>
          <w:sz w:val="24"/>
          <w:szCs w:val="24"/>
        </w:rPr>
        <w:t>Sub Bagian Umum dan Kepegawaian</w:t>
      </w:r>
    </w:p>
    <w:p w:rsidR="007335FD" w:rsidRDefault="00815898" w:rsidP="00815898">
      <w:pPr>
        <w:pStyle w:val="NoSpacing"/>
        <w:spacing w:line="360" w:lineRule="auto"/>
        <w:ind w:leftChars="200" w:left="877" w:hangingChars="182" w:hanging="437"/>
        <w:rPr>
          <w:rFonts w:eastAsia="Batang"/>
          <w:sz w:val="24"/>
          <w:szCs w:val="24"/>
        </w:rPr>
      </w:pPr>
      <w:r>
        <w:rPr>
          <w:rFonts w:eastAsia="Batang"/>
          <w:sz w:val="24"/>
          <w:szCs w:val="24"/>
        </w:rPr>
        <w:t xml:space="preserve">       1). Sub Bagian Keuangan</w:t>
      </w:r>
    </w:p>
    <w:p w:rsidR="007335FD" w:rsidRDefault="00815898" w:rsidP="00815898">
      <w:pPr>
        <w:pStyle w:val="NoSpacing"/>
        <w:spacing w:line="360" w:lineRule="auto"/>
        <w:ind w:leftChars="200" w:left="877" w:hangingChars="182" w:hanging="437"/>
        <w:rPr>
          <w:rFonts w:eastAsia="Batang"/>
          <w:sz w:val="24"/>
          <w:szCs w:val="24"/>
        </w:rPr>
      </w:pPr>
      <w:r>
        <w:rPr>
          <w:rFonts w:eastAsia="Batang"/>
          <w:sz w:val="24"/>
          <w:szCs w:val="24"/>
        </w:rPr>
        <w:t xml:space="preserve">       2). Sub Bagian Program </w:t>
      </w:r>
    </w:p>
    <w:p w:rsidR="007335FD" w:rsidRDefault="00815898" w:rsidP="00815898">
      <w:pPr>
        <w:pStyle w:val="ListParagraph"/>
        <w:numPr>
          <w:ilvl w:val="0"/>
          <w:numId w:val="2"/>
        </w:numPr>
        <w:spacing w:line="360" w:lineRule="auto"/>
        <w:ind w:leftChars="200" w:left="877" w:hangingChars="182" w:hanging="437"/>
        <w:jc w:val="both"/>
        <w:rPr>
          <w:rFonts w:eastAsia="Batang" w:cs="Aparajita"/>
          <w:sz w:val="24"/>
          <w:szCs w:val="24"/>
        </w:rPr>
      </w:pPr>
      <w:r>
        <w:rPr>
          <w:rFonts w:eastAsia="Batang" w:cs="Aparajita"/>
          <w:sz w:val="24"/>
          <w:szCs w:val="24"/>
        </w:rPr>
        <w:t>Bidang Idiologi dan Wasbang :</w:t>
      </w:r>
    </w:p>
    <w:p w:rsidR="007335FD" w:rsidRDefault="00815898" w:rsidP="00815898">
      <w:pPr>
        <w:pStyle w:val="ListParagraph"/>
        <w:spacing w:line="360" w:lineRule="auto"/>
        <w:ind w:leftChars="400" w:left="1094" w:hangingChars="89" w:hanging="214"/>
        <w:jc w:val="both"/>
        <w:rPr>
          <w:rFonts w:eastAsia="Batang" w:cs="Aparajita"/>
          <w:sz w:val="24"/>
          <w:szCs w:val="24"/>
        </w:rPr>
      </w:pPr>
      <w:r>
        <w:rPr>
          <w:rFonts w:eastAsia="Batang" w:cs="Aparajita"/>
          <w:sz w:val="24"/>
          <w:szCs w:val="24"/>
        </w:rPr>
        <w:t>1). Sub Bidang Bina Ideologi</w:t>
      </w:r>
    </w:p>
    <w:p w:rsidR="007335FD" w:rsidRDefault="00815898" w:rsidP="00815898">
      <w:pPr>
        <w:pStyle w:val="ListParagraph"/>
        <w:spacing w:line="360" w:lineRule="auto"/>
        <w:ind w:leftChars="400" w:left="1094" w:hangingChars="89" w:hanging="214"/>
        <w:jc w:val="both"/>
        <w:rPr>
          <w:rFonts w:eastAsia="Batang" w:cs="Aparajita"/>
          <w:sz w:val="24"/>
          <w:szCs w:val="24"/>
        </w:rPr>
      </w:pPr>
      <w:r>
        <w:rPr>
          <w:rFonts w:eastAsia="Batang" w:cs="Aparajita"/>
          <w:sz w:val="24"/>
          <w:szCs w:val="24"/>
        </w:rPr>
        <w:t>2). Sub Bidang Bina Wasbang</w:t>
      </w:r>
    </w:p>
    <w:p w:rsidR="007335FD" w:rsidRDefault="00815898" w:rsidP="00815898">
      <w:pPr>
        <w:pStyle w:val="ListParagraph"/>
        <w:numPr>
          <w:ilvl w:val="0"/>
          <w:numId w:val="2"/>
        </w:numPr>
        <w:spacing w:line="360" w:lineRule="auto"/>
        <w:ind w:leftChars="200" w:left="877" w:hangingChars="182" w:hanging="437"/>
        <w:jc w:val="both"/>
        <w:rPr>
          <w:rFonts w:eastAsia="Batang" w:cs="Aparajita"/>
          <w:sz w:val="24"/>
          <w:szCs w:val="24"/>
        </w:rPr>
      </w:pPr>
      <w:r>
        <w:rPr>
          <w:rFonts w:eastAsia="Batang" w:cs="Aparajita"/>
          <w:sz w:val="24"/>
          <w:szCs w:val="24"/>
        </w:rPr>
        <w:t xml:space="preserve">Bidang Kewaspadaan :  </w:t>
      </w:r>
    </w:p>
    <w:p w:rsidR="007335FD" w:rsidRDefault="00815898" w:rsidP="00815898">
      <w:pPr>
        <w:pStyle w:val="ListParagraph"/>
        <w:spacing w:line="360" w:lineRule="auto"/>
        <w:ind w:leftChars="400" w:left="1094" w:hangingChars="89" w:hanging="214"/>
        <w:jc w:val="both"/>
        <w:rPr>
          <w:rFonts w:eastAsia="Batang" w:cs="Aparajita"/>
          <w:sz w:val="24"/>
          <w:szCs w:val="24"/>
        </w:rPr>
      </w:pPr>
      <w:r>
        <w:rPr>
          <w:rFonts w:eastAsia="Batang" w:cs="Aparajita"/>
          <w:sz w:val="24"/>
          <w:szCs w:val="24"/>
        </w:rPr>
        <w:t xml:space="preserve">1). Sub Bidang PAM dan Waspadnas </w:t>
      </w:r>
    </w:p>
    <w:p w:rsidR="007335FD" w:rsidRDefault="00815898" w:rsidP="00815898">
      <w:pPr>
        <w:pStyle w:val="ListParagraph"/>
        <w:spacing w:line="360" w:lineRule="auto"/>
        <w:ind w:leftChars="400" w:left="1094" w:hangingChars="89" w:hanging="214"/>
        <w:jc w:val="both"/>
        <w:rPr>
          <w:rFonts w:eastAsia="Batang" w:cs="Aparajita"/>
          <w:sz w:val="24"/>
          <w:szCs w:val="24"/>
        </w:rPr>
      </w:pPr>
      <w:r>
        <w:rPr>
          <w:rFonts w:eastAsia="Batang" w:cs="Aparajita"/>
          <w:sz w:val="24"/>
          <w:szCs w:val="24"/>
        </w:rPr>
        <w:t>2). Sub Bidang Penanganan Konflik</w:t>
      </w:r>
    </w:p>
    <w:p w:rsidR="007335FD" w:rsidRDefault="00815898" w:rsidP="00815898">
      <w:pPr>
        <w:pStyle w:val="ListParagraph"/>
        <w:numPr>
          <w:ilvl w:val="0"/>
          <w:numId w:val="2"/>
        </w:numPr>
        <w:spacing w:line="360" w:lineRule="auto"/>
        <w:ind w:leftChars="200" w:left="877" w:hangingChars="182" w:hanging="437"/>
        <w:jc w:val="both"/>
        <w:rPr>
          <w:rFonts w:eastAsia="Batang" w:cs="Aparajita"/>
          <w:sz w:val="24"/>
          <w:szCs w:val="24"/>
        </w:rPr>
      </w:pPr>
      <w:r>
        <w:rPr>
          <w:rFonts w:eastAsia="Batang" w:cs="Aparajita"/>
          <w:sz w:val="24"/>
          <w:szCs w:val="24"/>
        </w:rPr>
        <w:t xml:space="preserve">Bidang </w:t>
      </w:r>
      <w:r>
        <w:rPr>
          <w:rFonts w:eastAsia="Batang" w:cs="Aparajita"/>
          <w:sz w:val="24"/>
          <w:szCs w:val="24"/>
          <w:lang w:val="fi-FI"/>
        </w:rPr>
        <w:t>Pembinaan Kemasyarakatan</w:t>
      </w:r>
      <w:r>
        <w:rPr>
          <w:rFonts w:eastAsia="Batang" w:cs="Aparajita"/>
          <w:sz w:val="24"/>
          <w:szCs w:val="24"/>
        </w:rPr>
        <w:t xml:space="preserve"> :  </w:t>
      </w:r>
    </w:p>
    <w:p w:rsidR="007335FD" w:rsidRDefault="00815898">
      <w:pPr>
        <w:pStyle w:val="ListParagraph"/>
        <w:spacing w:line="360" w:lineRule="auto"/>
        <w:ind w:leftChars="400" w:left="1091" w:hangingChars="88" w:hanging="211"/>
        <w:jc w:val="both"/>
        <w:rPr>
          <w:rFonts w:eastAsia="Batang" w:cs="Aparajita"/>
          <w:sz w:val="24"/>
          <w:szCs w:val="24"/>
        </w:rPr>
      </w:pPr>
      <w:r>
        <w:rPr>
          <w:rFonts w:eastAsia="Batang" w:cs="Aparajita"/>
          <w:sz w:val="24"/>
          <w:szCs w:val="24"/>
        </w:rPr>
        <w:t xml:space="preserve">1). Sub Bidang Bina Ketahanan Ekonomi                                                     </w:t>
      </w:r>
    </w:p>
    <w:p w:rsidR="007335FD" w:rsidRDefault="00815898">
      <w:pPr>
        <w:pStyle w:val="ListParagraph"/>
        <w:spacing w:line="360" w:lineRule="auto"/>
        <w:ind w:leftChars="400" w:left="1091" w:hangingChars="88" w:hanging="211"/>
        <w:jc w:val="both"/>
        <w:rPr>
          <w:rFonts w:eastAsia="Batang" w:cs="Aparajita"/>
          <w:sz w:val="24"/>
          <w:szCs w:val="24"/>
        </w:rPr>
      </w:pPr>
      <w:r>
        <w:rPr>
          <w:rFonts w:eastAsia="Batang" w:cs="Aparajita"/>
          <w:sz w:val="24"/>
          <w:szCs w:val="24"/>
        </w:rPr>
        <w:t>2). Sub Bidang Bina Ketahanan Sosial Budaya &amp; Agama</w:t>
      </w:r>
    </w:p>
    <w:p w:rsidR="007335FD" w:rsidRDefault="00815898" w:rsidP="00815898">
      <w:pPr>
        <w:pStyle w:val="ListParagraph"/>
        <w:numPr>
          <w:ilvl w:val="0"/>
          <w:numId w:val="2"/>
        </w:numPr>
        <w:spacing w:line="360" w:lineRule="auto"/>
        <w:ind w:leftChars="200" w:left="877" w:hangingChars="182" w:hanging="437"/>
        <w:jc w:val="both"/>
        <w:rPr>
          <w:rFonts w:eastAsia="Batang" w:cs="Aparajita"/>
          <w:sz w:val="24"/>
          <w:szCs w:val="24"/>
        </w:rPr>
      </w:pPr>
      <w:r>
        <w:rPr>
          <w:rFonts w:eastAsia="Batang" w:cs="Aparajita"/>
          <w:sz w:val="24"/>
          <w:szCs w:val="24"/>
        </w:rPr>
        <w:t xml:space="preserve">Bidang </w:t>
      </w:r>
      <w:r>
        <w:rPr>
          <w:rFonts w:eastAsia="Batang" w:cs="Aparajita"/>
          <w:sz w:val="24"/>
          <w:szCs w:val="24"/>
          <w:lang w:val="fi-FI"/>
        </w:rPr>
        <w:t>Politik Dalam Negeri :</w:t>
      </w:r>
    </w:p>
    <w:p w:rsidR="007335FD" w:rsidRDefault="00815898" w:rsidP="00815898">
      <w:pPr>
        <w:pStyle w:val="ListParagraph"/>
        <w:spacing w:line="360" w:lineRule="auto"/>
        <w:ind w:leftChars="400" w:left="1094" w:hangingChars="89" w:hanging="214"/>
        <w:jc w:val="both"/>
        <w:rPr>
          <w:rFonts w:eastAsia="Batang" w:cs="Aparajita"/>
          <w:sz w:val="24"/>
          <w:szCs w:val="24"/>
        </w:rPr>
      </w:pPr>
      <w:r>
        <w:rPr>
          <w:rFonts w:eastAsia="Batang" w:cs="Aparajita"/>
          <w:sz w:val="24"/>
          <w:szCs w:val="24"/>
        </w:rPr>
        <w:t>1). Sub Bidang Fasilitasi Parpol dan Ormas</w:t>
      </w:r>
    </w:p>
    <w:p w:rsidR="007335FD" w:rsidRDefault="00815898" w:rsidP="00815898">
      <w:pPr>
        <w:pStyle w:val="ListParagraph"/>
        <w:spacing w:line="360" w:lineRule="auto"/>
        <w:ind w:leftChars="400" w:left="1094" w:hangingChars="89" w:hanging="214"/>
        <w:jc w:val="both"/>
        <w:rPr>
          <w:rFonts w:eastAsia="Batang" w:cs="Aparajita"/>
          <w:sz w:val="24"/>
          <w:szCs w:val="24"/>
        </w:rPr>
      </w:pPr>
      <w:proofErr w:type="gramStart"/>
      <w:r>
        <w:rPr>
          <w:rFonts w:eastAsia="Batang" w:cs="Aparajita"/>
          <w:sz w:val="24"/>
          <w:szCs w:val="24"/>
        </w:rPr>
        <w:t>2 )</w:t>
      </w:r>
      <w:proofErr w:type="gramEnd"/>
      <w:r>
        <w:rPr>
          <w:rFonts w:eastAsia="Batang" w:cs="Aparajita"/>
          <w:sz w:val="24"/>
          <w:szCs w:val="24"/>
        </w:rPr>
        <w:t>.Sub Bidang Hubungan Antar Lembaga dan Pemilu</w:t>
      </w:r>
    </w:p>
    <w:p w:rsidR="007335FD" w:rsidRDefault="00815898" w:rsidP="00815898">
      <w:pPr>
        <w:pStyle w:val="ListParagraph"/>
        <w:numPr>
          <w:ilvl w:val="0"/>
          <w:numId w:val="2"/>
        </w:numPr>
        <w:spacing w:line="360" w:lineRule="auto"/>
        <w:ind w:leftChars="200" w:left="877" w:hangingChars="182" w:hanging="437"/>
        <w:jc w:val="both"/>
        <w:rPr>
          <w:rFonts w:eastAsia="Batang" w:cs="Aparajita"/>
          <w:sz w:val="24"/>
          <w:szCs w:val="24"/>
        </w:rPr>
      </w:pPr>
      <w:r>
        <w:rPr>
          <w:rFonts w:eastAsia="Batang" w:cs="Aparajita"/>
          <w:sz w:val="24"/>
          <w:szCs w:val="24"/>
        </w:rPr>
        <w:t xml:space="preserve">Kelompok Jabatan Fungsional  </w:t>
      </w:r>
    </w:p>
    <w:p w:rsidR="007335FD" w:rsidRDefault="00815898">
      <w:pPr>
        <w:spacing w:line="360" w:lineRule="auto"/>
        <w:ind w:leftChars="199" w:left="438" w:firstLineChars="183" w:firstLine="439"/>
        <w:jc w:val="both"/>
        <w:rPr>
          <w:rFonts w:eastAsia="Calibri" w:hAnsi="Tahoma" w:cs="Tahoma"/>
          <w:bCs/>
          <w:sz w:val="24"/>
          <w:szCs w:val="24"/>
        </w:rPr>
      </w:pPr>
      <w:r>
        <w:rPr>
          <w:rFonts w:eastAsia="Calibri" w:hAnsi="Tahoma" w:cs="Tahoma"/>
          <w:bCs/>
          <w:sz w:val="24"/>
          <w:szCs w:val="24"/>
        </w:rPr>
        <w:t xml:space="preserve">Pada tahun 2018 ini, sejalan dengan diterbitkannya Peraturan Pemerintah Nomor : 18 Tahun 2016 tentang Perangkat Daerah, Pemerintah Provinsi Sumatera Barat telah menetapkan Peraturan Daerah Nomor : 8 Tahun 2016 tentang Pembentukan dan Susunan Perangkat Daerah Provinsi Sumatera Barat tanggal 1 November 2016. Dalam Perda tersebut, Badan Kesatuan Bangsa dan Politik diatur dalam ketentuan peralihan yang menyebutkan bahwa Perangkat Daerah yang melaksanakan urusan pemerintahan di bidang kesatuan bangsa dan politik yang terbentuk dengan susunan organisasi dan tata </w:t>
      </w:r>
      <w:r>
        <w:rPr>
          <w:rFonts w:eastAsia="Calibri" w:hAnsi="Tahoma" w:cs="Tahoma"/>
          <w:bCs/>
          <w:sz w:val="24"/>
          <w:szCs w:val="24"/>
        </w:rPr>
        <w:lastRenderedPageBreak/>
        <w:t xml:space="preserve">kerja sebelum Peraturan Daerah ini diundangkan, tetap melaksanakan tugasnya sampai peraturan perundang-undangan mengenai pelaksanaan urusan pemerintahan umum diundangkan. </w:t>
      </w:r>
    </w:p>
    <w:p w:rsidR="007335FD" w:rsidRDefault="00815898">
      <w:pPr>
        <w:spacing w:line="360" w:lineRule="auto"/>
        <w:jc w:val="both"/>
        <w:rPr>
          <w:rFonts w:eastAsia="Calibri" w:hAnsi="Tahoma" w:cs="Tahoma"/>
          <w:bCs/>
          <w:sz w:val="24"/>
          <w:szCs w:val="24"/>
        </w:rPr>
      </w:pPr>
      <w:r>
        <w:rPr>
          <w:rFonts w:ascii="Segoe UI Black" w:hAnsi="Segoe UI Black" w:cs="Segoe UI Black"/>
          <w:b/>
          <w:bCs/>
          <w:sz w:val="24"/>
          <w:szCs w:val="24"/>
        </w:rPr>
        <w:t>1.3.2 Struktur Organisasi</w:t>
      </w:r>
    </w:p>
    <w:p w:rsidR="007335FD" w:rsidRDefault="00815898">
      <w:pPr>
        <w:pStyle w:val="ListParagraph"/>
        <w:tabs>
          <w:tab w:val="left" w:pos="1985"/>
        </w:tabs>
        <w:spacing w:line="360" w:lineRule="auto"/>
        <w:ind w:leftChars="198" w:left="436" w:right="-21" w:firstLineChars="185" w:firstLine="444"/>
        <w:jc w:val="both"/>
        <w:rPr>
          <w:rFonts w:cs="Tahoma"/>
          <w:sz w:val="24"/>
          <w:szCs w:val="24"/>
        </w:rPr>
      </w:pPr>
      <w:r>
        <w:rPr>
          <w:rFonts w:hAnsi="Tahoma" w:cs="Tahoma"/>
          <w:sz w:val="24"/>
          <w:szCs w:val="24"/>
        </w:rPr>
        <w:t xml:space="preserve">Pada laporan kinerja ini, susunan organisasi dan tata kerja Badan Kesatuan Bangsa dan Politik mengacu pada </w:t>
      </w:r>
      <w:r>
        <w:rPr>
          <w:rFonts w:eastAsia="Calibri" w:hAnsi="Tahoma" w:cs="Tahoma"/>
          <w:bCs/>
          <w:sz w:val="24"/>
          <w:szCs w:val="24"/>
        </w:rPr>
        <w:t xml:space="preserve">Peraturan Gubernur Sumatera Barat Nomor 37 Tahun 2017 tentang </w:t>
      </w:r>
      <w:r>
        <w:rPr>
          <w:rFonts w:cs="Tahoma"/>
          <w:sz w:val="24"/>
          <w:szCs w:val="24"/>
        </w:rPr>
        <w:t xml:space="preserve">Uraian Tugas Pokok dan Fungsi </w:t>
      </w:r>
      <w:r>
        <w:rPr>
          <w:rFonts w:cs="Tahoma"/>
          <w:sz w:val="24"/>
          <w:szCs w:val="24"/>
          <w:lang w:val="sv-SE"/>
        </w:rPr>
        <w:t>Badan Kesatuan Bangsa dan Politik Provinsi Sumatera Barat</w:t>
      </w:r>
      <w:r>
        <w:rPr>
          <w:rFonts w:cs="Tahoma"/>
          <w:sz w:val="24"/>
          <w:szCs w:val="24"/>
        </w:rPr>
        <w:t xml:space="preserve">. </w:t>
      </w:r>
    </w:p>
    <w:p w:rsidR="007335FD" w:rsidRDefault="00815898">
      <w:pPr>
        <w:pStyle w:val="ListParagraph"/>
        <w:spacing w:line="360" w:lineRule="auto"/>
        <w:ind w:leftChars="198" w:left="436" w:right="-21" w:firstLineChars="185" w:firstLine="444"/>
        <w:jc w:val="both"/>
        <w:rPr>
          <w:rFonts w:eastAsia="Calibri" w:hAnsi="Tahoma" w:cs="Tahoma"/>
          <w:bCs/>
          <w:sz w:val="24"/>
          <w:szCs w:val="24"/>
        </w:rPr>
      </w:pPr>
      <w:r>
        <w:rPr>
          <w:rFonts w:hAnsi="Tahoma" w:cs="Tahoma"/>
          <w:sz w:val="24"/>
          <w:szCs w:val="24"/>
        </w:rPr>
        <w:t>Adapun struktur organisasi yang menjelaskan kedudukan dari Kepala Badan hingga Kepala Sub Bagian pada Badan Kesatuan Bangsa dan Politik Provinsi Sumatera Barat yang menjelaskan koordinasi antar bagian dan dalam hal pendelegasian perintah dari atasan ke bawahan sebagaimana gambar struktur organisasi berikut:</w:t>
      </w:r>
      <w:r>
        <w:rPr>
          <w:rFonts w:eastAsia="Calibri" w:hAnsi="Tahoma" w:cs="Tahoma"/>
          <w:bCs/>
          <w:sz w:val="24"/>
          <w:szCs w:val="24"/>
        </w:rPr>
        <w:t xml:space="preserve"> </w:t>
      </w:r>
    </w:p>
    <w:p w:rsidR="007335FD" w:rsidRDefault="007335FD" w:rsidP="00815898">
      <w:pPr>
        <w:spacing w:line="360" w:lineRule="auto"/>
        <w:ind w:left="94" w:hangingChars="39" w:hanging="94"/>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pPr>
    </w:p>
    <w:p w:rsidR="007335FD" w:rsidRDefault="007335FD">
      <w:pPr>
        <w:spacing w:line="360" w:lineRule="auto"/>
        <w:ind w:leftChars="300" w:left="660"/>
        <w:jc w:val="both"/>
        <w:rPr>
          <w:rFonts w:eastAsia="Calibri" w:hAnsi="Tahoma" w:cs="Tahoma"/>
          <w:bCs/>
          <w:sz w:val="24"/>
          <w:szCs w:val="24"/>
        </w:rPr>
        <w:sectPr w:rsidR="007335FD">
          <w:headerReference w:type="default" r:id="rId11"/>
          <w:footerReference w:type="default" r:id="rId12"/>
          <w:pgSz w:w="11909" w:h="16834"/>
          <w:pgMar w:top="1440" w:right="1134" w:bottom="1531" w:left="1440" w:header="706"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0"/>
          <w:docGrid w:linePitch="360"/>
        </w:sectPr>
      </w:pPr>
    </w:p>
    <w:p w:rsidR="007335FD" w:rsidRDefault="007335FD">
      <w:pPr>
        <w:spacing w:line="360" w:lineRule="auto"/>
        <w:ind w:leftChars="300" w:left="660"/>
        <w:jc w:val="both"/>
        <w:rPr>
          <w:rFonts w:eastAsia="Batang" w:cs="Aparajita"/>
          <w:sz w:val="24"/>
          <w:szCs w:val="24"/>
        </w:rPr>
      </w:pPr>
    </w:p>
    <w:p w:rsidR="007335FD" w:rsidRDefault="00851EC5">
      <w:pPr>
        <w:spacing w:line="480" w:lineRule="auto"/>
        <w:ind w:right="-21"/>
        <w:jc w:val="both"/>
        <w:rPr>
          <w:rFonts w:ascii="Arial Narrow" w:hAnsi="Arial Narrow"/>
        </w:rPr>
      </w:pPr>
      <w:r>
        <w:rPr>
          <w:rFonts w:ascii="Arial Narrow" w:hAnsi="Arial Narrow"/>
        </w:rPr>
        <w:pict>
          <v:shapetype id="_x0000_t202" coordsize="21600,21600" o:spt="202" path="m,l,21600r21600,l21600,xe">
            <v:stroke joinstyle="miter"/>
            <v:path gradientshapeok="t" o:connecttype="rect"/>
          </v:shapetype>
          <v:shape id="_x0000_s1029" type="#_x0000_t202" style="position:absolute;left:0;text-align:left;margin-left:-6.75pt;margin-top:-3.3pt;width:392.25pt;height:53.2pt;z-index:251737088;mso-width-relative:page;mso-height-relative:page" filled="f" stroked="f">
            <v:textbox>
              <w:txbxContent>
                <w:p w:rsidR="00815898" w:rsidRDefault="00815898">
                  <w:pPr>
                    <w:ind w:left="1325" w:hangingChars="600" w:hanging="1325"/>
                    <w:rPr>
                      <w:b/>
                      <w:sz w:val="24"/>
                      <w:szCs w:val="24"/>
                    </w:rPr>
                  </w:pPr>
                  <w:r>
                    <w:rPr>
                      <w:b/>
                      <w:lang w:val="sv-SE"/>
                    </w:rPr>
                    <w:t xml:space="preserve"> </w:t>
                  </w:r>
                  <w:r>
                    <w:rPr>
                      <w:b/>
                      <w:sz w:val="24"/>
                      <w:szCs w:val="24"/>
                      <w:lang w:val="sv-SE"/>
                    </w:rPr>
                    <w:t xml:space="preserve">Gambar 1.1 </w:t>
                  </w:r>
                  <w:r>
                    <w:rPr>
                      <w:b/>
                      <w:sz w:val="24"/>
                      <w:szCs w:val="24"/>
                    </w:rPr>
                    <w:t xml:space="preserve"> </w:t>
                  </w:r>
                  <w:r>
                    <w:rPr>
                      <w:b/>
                      <w:sz w:val="24"/>
                      <w:szCs w:val="24"/>
                      <w:lang w:val="sv-SE"/>
                    </w:rPr>
                    <w:t xml:space="preserve">Struktur Organisasi Badan </w:t>
                  </w:r>
                  <w:r>
                    <w:rPr>
                      <w:b/>
                      <w:sz w:val="24"/>
                      <w:szCs w:val="24"/>
                    </w:rPr>
                    <w:t>Kesatuan Bangsa dan Politik</w:t>
                  </w:r>
                  <w:r>
                    <w:rPr>
                      <w:b/>
                      <w:sz w:val="24"/>
                      <w:szCs w:val="24"/>
                      <w:lang w:val="sv-SE"/>
                    </w:rPr>
                    <w:t xml:space="preserve">  Provinsi Sumatera Bara</w:t>
                  </w:r>
                  <w:r>
                    <w:rPr>
                      <w:b/>
                      <w:sz w:val="24"/>
                      <w:szCs w:val="24"/>
                    </w:rPr>
                    <w:t>t</w:t>
                  </w:r>
                </w:p>
                <w:p w:rsidR="00815898" w:rsidRDefault="00815898">
                  <w:pPr>
                    <w:rPr>
                      <w:b/>
                      <w:sz w:val="24"/>
                      <w:szCs w:val="24"/>
                      <w:lang w:val="sv-SE"/>
                    </w:rPr>
                  </w:pPr>
                </w:p>
                <w:p w:rsidR="00815898" w:rsidRDefault="00815898">
                  <w:pPr>
                    <w:rPr>
                      <w:b/>
                      <w:lang w:val="sv-SE"/>
                    </w:rPr>
                  </w:pPr>
                </w:p>
                <w:p w:rsidR="00815898" w:rsidRDefault="00815898">
                  <w:pPr>
                    <w:rPr>
                      <w:b/>
                      <w:sz w:val="32"/>
                      <w:szCs w:val="32"/>
                      <w:lang w:val="sv-SE"/>
                    </w:rPr>
                  </w:pPr>
                </w:p>
              </w:txbxContent>
            </v:textbox>
          </v:shape>
        </w:pict>
      </w:r>
    </w:p>
    <w:p w:rsidR="007335FD" w:rsidRDefault="00851EC5">
      <w:pPr>
        <w:rPr>
          <w:rFonts w:ascii="Arial Narrow" w:hAnsi="Arial Narrow"/>
        </w:rPr>
      </w:pPr>
      <w:r>
        <w:rPr>
          <w:rFonts w:ascii="Tahoma" w:hAnsi="Tahoma" w:cs="Tahoma"/>
        </w:rPr>
        <w:pict>
          <v:shape id="_x0000_s1108" type="#_x0000_t202" style="position:absolute;margin-left:215.1pt;margin-top:15.15pt;width:130.15pt;height:37.15pt;z-index:251748352;mso-width-relative:page;mso-height-relative:page">
            <v:textbox>
              <w:txbxContent>
                <w:p w:rsidR="00815898" w:rsidRDefault="00815898">
                  <w:pPr>
                    <w:jc w:val="center"/>
                    <w:rPr>
                      <w:b/>
                    </w:rPr>
                  </w:pPr>
                  <w:r>
                    <w:rPr>
                      <w:b/>
                    </w:rPr>
                    <w:t>KEPALA BADAN</w:t>
                  </w:r>
                </w:p>
              </w:txbxContent>
            </v:textbox>
          </v:shape>
        </w:pict>
      </w:r>
    </w:p>
    <w:p w:rsidR="007335FD" w:rsidRDefault="00851EC5">
      <w:pPr>
        <w:spacing w:line="480" w:lineRule="auto"/>
        <w:ind w:right="-21"/>
        <w:jc w:val="both"/>
        <w:rPr>
          <w:rFonts w:ascii="Tahoma" w:hAnsi="Tahoma" w:cs="Tahoma"/>
        </w:rPr>
      </w:pPr>
      <w:r>
        <w:rPr>
          <w:rFonts w:ascii="Tahoma" w:hAnsi="Tahoma" w:cs="Tahoma"/>
        </w:rPr>
        <w:pict>
          <v:shape id="_x0000_s1083" type="#_x0000_t32" style="position:absolute;left:0;text-align:left;margin-left:277.2pt;margin-top:26.85pt;width:.25pt;height:124.75pt;z-index:251773952;mso-width-relative:page;mso-height-relative:page"/>
        </w:pict>
      </w:r>
      <w:r>
        <w:rPr>
          <w:rFonts w:ascii="Tahoma" w:hAnsi="Tahoma" w:cs="Tahoma"/>
        </w:rPr>
        <w:pict>
          <v:shape id="_x0000_s1076" type="#_x0000_t32" style="position:absolute;left:0;text-align:left;margin-left:-.7pt;margin-top:184.85pt;width:14.7pt;height:0;flip:x;z-index:251781120;mso-width-relative:page;mso-height-relative:page" o:connectortype="straight"/>
        </w:pict>
      </w:r>
      <w:r>
        <w:rPr>
          <w:rFonts w:ascii="Tahoma" w:hAnsi="Tahoma" w:cs="Tahoma"/>
        </w:rPr>
        <w:pict>
          <v:shape id="_x0000_s1077" type="#_x0000_t32" style="position:absolute;left:0;text-align:left;margin-left:176.15pt;margin-top:183.95pt;width:.3pt;height:160.35pt;flip:x;z-index:251780096;mso-width-relative:page;mso-height-relative:page"/>
        </w:pict>
      </w:r>
      <w:r>
        <w:rPr>
          <w:rFonts w:ascii="Tahoma" w:hAnsi="Tahoma" w:cs="Tahoma"/>
        </w:rPr>
        <w:pict>
          <v:shape id="_x0000_s1078" type="#_x0000_t32" style="position:absolute;left:0;text-align:left;margin-left:-2.2pt;margin-top:184.85pt;width:.8pt;height:146.6pt;z-index:251779072;mso-width-relative:page;mso-height-relative:page"/>
        </w:pict>
      </w:r>
      <w:r>
        <w:rPr>
          <w:rFonts w:ascii="Tahoma" w:hAnsi="Tahoma" w:cs="Tahoma"/>
        </w:rPr>
        <w:pict>
          <v:shape id="_x0000_s1079" type="#_x0000_t32" style="position:absolute;left:0;text-align:left;margin-left:633.25pt;margin-top:151pt;width:.05pt;height:21.75pt;z-index:251778048;mso-width-relative:page;mso-height-relative:page" o:connectortype="straight"/>
        </w:pict>
      </w:r>
      <w:r>
        <w:rPr>
          <w:rFonts w:ascii="Tahoma" w:hAnsi="Tahoma" w:cs="Tahoma"/>
        </w:rPr>
        <w:pict>
          <v:shape id="_x0000_s1081" type="#_x0000_t32" style="position:absolute;left:0;text-align:left;margin-left:259.6pt;margin-top:151pt;width:.05pt;height:21.75pt;z-index:251776000;mso-width-relative:page;mso-height-relative:page" o:connectortype="straight"/>
        </w:pict>
      </w:r>
      <w:r>
        <w:rPr>
          <w:rFonts w:ascii="Tahoma" w:hAnsi="Tahoma" w:cs="Tahoma"/>
        </w:rPr>
        <w:pict>
          <v:shape id="_x0000_s1082" type="#_x0000_t32" style="position:absolute;left:0;text-align:left;margin-left:79.9pt;margin-top:151pt;width:.05pt;height:21.75pt;z-index:251774976;mso-width-relative:page;mso-height-relative:page" o:connectortype="straight"/>
        </w:pict>
      </w:r>
      <w:r>
        <w:rPr>
          <w:rFonts w:ascii="Tahoma" w:hAnsi="Tahoma" w:cs="Tahoma"/>
        </w:rPr>
        <w:pict>
          <v:shape id="_x0000_s1084" type="#_x0000_t32" style="position:absolute;left:0;text-align:left;margin-left:79.9pt;margin-top:151pt;width:553.35pt;height:0;z-index:251772928;mso-width-relative:page;mso-height-relative:page" o:connectortype="straight"/>
        </w:pict>
      </w:r>
      <w:r>
        <w:rPr>
          <w:rFonts w:ascii="Tahoma" w:hAnsi="Tahoma" w:cs="Tahoma"/>
        </w:rPr>
        <w:pict>
          <v:shape id="_x0000_s1085" type="#_x0000_t32" style="position:absolute;left:0;text-align:left;margin-left:633.25pt;margin-top:87.4pt;width:.05pt;height:21.75pt;z-index:251771904;mso-width-relative:page;mso-height-relative:page" o:connectortype="straight"/>
        </w:pict>
      </w:r>
      <w:r>
        <w:rPr>
          <w:rFonts w:ascii="Tahoma" w:hAnsi="Tahoma" w:cs="Tahoma"/>
        </w:rPr>
        <w:pict>
          <v:shape id="_x0000_s1086" type="#_x0000_t32" style="position:absolute;left:0;text-align:left;margin-left:361.2pt;margin-top:87.4pt;width:.05pt;height:21.75pt;z-index:251770880;mso-width-relative:page;mso-height-relative:page" o:connectortype="straight"/>
        </w:pict>
      </w:r>
      <w:r>
        <w:rPr>
          <w:rFonts w:ascii="Tahoma" w:hAnsi="Tahoma" w:cs="Tahoma"/>
        </w:rPr>
        <w:pict>
          <v:shape id="_x0000_s1087" type="#_x0000_t32" style="position:absolute;left:0;text-align:left;margin-left:361.2pt;margin-top:87.4pt;width:272.05pt;height:0;z-index:251769856;mso-width-relative:page;mso-height-relative:page" o:connectortype="straight"/>
        </w:pict>
      </w:r>
      <w:r>
        <w:rPr>
          <w:rFonts w:ascii="Tahoma" w:hAnsi="Tahoma" w:cs="Tahoma"/>
        </w:rPr>
        <w:pict>
          <v:shape id="_x0000_s1088" type="#_x0000_t32" style="position:absolute;left:0;text-align:left;margin-left:491.45pt;margin-top:72.45pt;width:.35pt;height:36.7pt;flip:x;z-index:251768832;mso-width-relative:page;mso-height-relative:page"/>
        </w:pict>
      </w:r>
      <w:r>
        <w:rPr>
          <w:rFonts w:ascii="Tahoma" w:hAnsi="Tahoma" w:cs="Tahoma"/>
        </w:rPr>
        <w:pict>
          <v:shape id="_x0000_s1089" type="#_x0000_t32" style="position:absolute;left:0;text-align:left;margin-left:142.05pt;margin-top:68pt;width:135.15pt;height:0;z-index:251767808;mso-width-relative:page;mso-height-relative:page" o:connectortype="straight"/>
        </w:pict>
      </w:r>
      <w:r>
        <w:rPr>
          <w:rFonts w:ascii="Tahoma" w:hAnsi="Tahoma" w:cs="Tahoma"/>
        </w:rPr>
        <w:pict>
          <v:shape id="_x0000_s1090" type="#_x0000_t32" style="position:absolute;left:0;text-align:left;margin-left:277.2pt;margin-top:60.4pt;width:149.05pt;height:0;z-index:251766784;mso-width-relative:page;mso-height-relative:page" o:connectortype="straight"/>
        </w:pict>
      </w:r>
      <w:r>
        <w:rPr>
          <w:rFonts w:ascii="Tahoma" w:hAnsi="Tahoma" w:cs="Tahoma"/>
        </w:rPr>
        <w:pict>
          <v:shape id="_x0000_s1091" type="#_x0000_t202" style="position:absolute;left:0;text-align:left;margin-left:11.9pt;margin-top:57.7pt;width:130.15pt;height:37.15pt;z-index:251765760;mso-width-relative:page;mso-height-relative:page">
            <v:textbox>
              <w:txbxContent>
                <w:p w:rsidR="00815898" w:rsidRDefault="00815898">
                  <w:pPr>
                    <w:jc w:val="center"/>
                    <w:rPr>
                      <w:b/>
                    </w:rPr>
                  </w:pPr>
                  <w:r>
                    <w:rPr>
                      <w:b/>
                    </w:rPr>
                    <w:t>Kelompok Jabatan Fungsional</w:t>
                  </w:r>
                </w:p>
              </w:txbxContent>
            </v:textbox>
          </v:shape>
        </w:pict>
      </w:r>
      <w:r>
        <w:rPr>
          <w:rFonts w:ascii="Tahoma" w:hAnsi="Tahoma" w:cs="Tahoma"/>
        </w:rPr>
        <w:pict>
          <v:shape id="_x0000_s1100" type="#_x0000_t202" style="position:absolute;left:0;text-align:left;margin-left:14pt;margin-top:172.75pt;width:144.25pt;height:61.1pt;z-index:251756544;mso-width-relative:page;mso-height-relative:page">
            <v:textbox>
              <w:txbxContent>
                <w:p w:rsidR="00815898" w:rsidRDefault="00815898">
                  <w:pPr>
                    <w:pStyle w:val="NoSpacing"/>
                    <w:spacing w:line="360" w:lineRule="auto"/>
                    <w:jc w:val="center"/>
                    <w:rPr>
                      <w:b/>
                      <w:bCs/>
                      <w:sz w:val="22"/>
                      <w:szCs w:val="22"/>
                    </w:rPr>
                  </w:pPr>
                  <w:r>
                    <w:rPr>
                      <w:b/>
                      <w:bCs/>
                      <w:sz w:val="22"/>
                      <w:szCs w:val="22"/>
                    </w:rPr>
                    <w:t>Bidang</w:t>
                  </w:r>
                </w:p>
                <w:p w:rsidR="00815898" w:rsidRDefault="00815898">
                  <w:pPr>
                    <w:pStyle w:val="NoSpacing"/>
                    <w:spacing w:line="360" w:lineRule="auto"/>
                    <w:jc w:val="center"/>
                    <w:rPr>
                      <w:b/>
                      <w:bCs/>
                      <w:sz w:val="22"/>
                      <w:szCs w:val="22"/>
                    </w:rPr>
                  </w:pPr>
                  <w:r>
                    <w:rPr>
                      <w:b/>
                      <w:bCs/>
                      <w:sz w:val="22"/>
                      <w:szCs w:val="22"/>
                    </w:rPr>
                    <w:t>Idiologi dan Wawasan Kebangsaan</w:t>
                  </w:r>
                </w:p>
              </w:txbxContent>
            </v:textbox>
          </v:shape>
        </w:pict>
      </w:r>
      <w:r>
        <w:rPr>
          <w:rFonts w:ascii="Tahoma" w:hAnsi="Tahoma" w:cs="Tahoma"/>
        </w:rPr>
        <w:pict>
          <v:shape id="_x0000_s1101" type="#_x0000_t202" style="position:absolute;left:0;text-align:left;margin-left:192.85pt;margin-top:172.75pt;width:130.15pt;height:50.5pt;z-index:251755520;mso-width-relative:page;mso-height-relative:page">
            <v:textbox>
              <w:txbxContent>
                <w:p w:rsidR="00815898" w:rsidRDefault="00815898">
                  <w:pPr>
                    <w:pStyle w:val="NoSpacing"/>
                    <w:spacing w:line="360" w:lineRule="auto"/>
                    <w:jc w:val="center"/>
                    <w:rPr>
                      <w:b/>
                      <w:bCs/>
                      <w:sz w:val="22"/>
                      <w:szCs w:val="22"/>
                    </w:rPr>
                  </w:pPr>
                  <w:r>
                    <w:rPr>
                      <w:b/>
                      <w:bCs/>
                      <w:sz w:val="22"/>
                      <w:szCs w:val="22"/>
                    </w:rPr>
                    <w:t>Bidang</w:t>
                  </w:r>
                </w:p>
                <w:p w:rsidR="00815898" w:rsidRDefault="00815898">
                  <w:pPr>
                    <w:pStyle w:val="NoSpacing"/>
                    <w:spacing w:line="360" w:lineRule="auto"/>
                    <w:jc w:val="center"/>
                    <w:rPr>
                      <w:b/>
                      <w:bCs/>
                      <w:sz w:val="22"/>
                      <w:szCs w:val="22"/>
                    </w:rPr>
                  </w:pPr>
                  <w:r>
                    <w:rPr>
                      <w:b/>
                      <w:bCs/>
                      <w:sz w:val="22"/>
                      <w:szCs w:val="22"/>
                    </w:rPr>
                    <w:t>Kewaspadaan</w:t>
                  </w:r>
                </w:p>
              </w:txbxContent>
            </v:textbox>
          </v:shape>
        </w:pict>
      </w:r>
      <w:r>
        <w:rPr>
          <w:rFonts w:ascii="Tahoma" w:hAnsi="Tahoma" w:cs="Tahoma"/>
        </w:rPr>
        <w:pict>
          <v:shape id="_x0000_s1104" type="#_x0000_t202" style="position:absolute;left:0;text-align:left;margin-left:295.25pt;margin-top:109.15pt;width:130.15pt;height:37.15pt;z-index:251752448;mso-width-relative:page;mso-height-relative:page">
            <v:textbox>
              <w:txbxContent>
                <w:p w:rsidR="00815898" w:rsidRDefault="00815898">
                  <w:pPr>
                    <w:jc w:val="center"/>
                    <w:rPr>
                      <w:b/>
                    </w:rPr>
                  </w:pPr>
                  <w:r>
                    <w:rPr>
                      <w:b/>
                    </w:rPr>
                    <w:t>Sub. Bagian Umum dan Kepegawaian</w:t>
                  </w:r>
                </w:p>
              </w:txbxContent>
            </v:textbox>
          </v:shape>
        </w:pict>
      </w:r>
      <w:r>
        <w:rPr>
          <w:rFonts w:ascii="Tahoma" w:hAnsi="Tahoma" w:cs="Tahoma"/>
        </w:rPr>
        <w:pict>
          <v:shape id="_x0000_s1105" type="#_x0000_t202" style="position:absolute;left:0;text-align:left;margin-left:568.15pt;margin-top:109.15pt;width:130.15pt;height:37.15pt;z-index:251751424;mso-width-relative:page;mso-height-relative:page">
            <v:textbox>
              <w:txbxContent>
                <w:p w:rsidR="00815898" w:rsidRDefault="00815898">
                  <w:pPr>
                    <w:jc w:val="center"/>
                    <w:rPr>
                      <w:b/>
                    </w:rPr>
                  </w:pPr>
                  <w:r>
                    <w:rPr>
                      <w:b/>
                    </w:rPr>
                    <w:t>Sub Bagian Program</w:t>
                  </w:r>
                </w:p>
              </w:txbxContent>
            </v:textbox>
          </v:shape>
        </w:pict>
      </w:r>
      <w:r>
        <w:rPr>
          <w:rFonts w:ascii="Tahoma" w:hAnsi="Tahoma" w:cs="Tahoma"/>
        </w:rPr>
        <w:pict>
          <v:shape id="_x0000_s1106" type="#_x0000_t202" style="position:absolute;left:0;text-align:left;margin-left:431.3pt;margin-top:109.15pt;width:130.15pt;height:37.15pt;z-index:251750400;mso-width-relative:page;mso-height-relative:page">
            <v:textbox>
              <w:txbxContent>
                <w:p w:rsidR="00815898" w:rsidRDefault="00815898">
                  <w:pPr>
                    <w:jc w:val="center"/>
                    <w:rPr>
                      <w:b/>
                    </w:rPr>
                  </w:pPr>
                  <w:r>
                    <w:rPr>
                      <w:b/>
                    </w:rPr>
                    <w:t>Sub. Bagian Keuangan</w:t>
                  </w:r>
                </w:p>
              </w:txbxContent>
            </v:textbox>
          </v:shape>
        </w:pict>
      </w:r>
      <w:r>
        <w:rPr>
          <w:rFonts w:ascii="Tahoma" w:hAnsi="Tahoma" w:cs="Tahoma"/>
        </w:rPr>
        <w:pict>
          <v:shape id="_x0000_s1109" type="#_x0000_t32" style="position:absolute;left:0;text-align:left;margin-left:552.65pt;margin-top:264.95pt;width:14.65pt;height:0;flip:x;z-index:251747328;mso-width-relative:page;mso-height-relative:page" o:connectortype="straight"/>
        </w:pict>
      </w:r>
      <w:r>
        <w:rPr>
          <w:rFonts w:ascii="Tahoma" w:hAnsi="Tahoma" w:cs="Tahoma"/>
        </w:rPr>
        <w:pict>
          <v:shape id="_x0000_s1111" type="#_x0000_t32" style="position:absolute;left:0;text-align:left;margin-left:553.45pt;margin-top:183.95pt;width:14.7pt;height:0;flip:x;z-index:251745280;mso-width-relative:page;mso-height-relative:page" o:connectortype="straight"/>
        </w:pict>
      </w:r>
      <w:r>
        <w:rPr>
          <w:rFonts w:ascii="Tahoma" w:hAnsi="Tahoma" w:cs="Tahoma"/>
        </w:rPr>
        <w:pict>
          <v:shape id="_x0000_s1115" type="#_x0000_t32" style="position:absolute;left:0;text-align:left;margin-left:177.3pt;margin-top:183.95pt;width:14.7pt;height:0;flip:x;z-index:251741184;mso-width-relative:page;mso-height-relative:page" o:connectortype="straight"/>
        </w:pict>
      </w:r>
    </w:p>
    <w:p w:rsidR="007335FD" w:rsidRDefault="00851EC5">
      <w:pPr>
        <w:tabs>
          <w:tab w:val="left" w:pos="5188"/>
        </w:tabs>
        <w:rPr>
          <w:rFonts w:ascii="Arial Narrow" w:hAnsi="Arial Narrow"/>
        </w:rPr>
      </w:pPr>
      <w:r>
        <w:rPr>
          <w:rFonts w:ascii="Tahoma" w:hAnsi="Tahoma" w:cs="Tahoma"/>
        </w:rPr>
        <w:pict>
          <v:shape id="_x0000_s1107" type="#_x0000_t202" style="position:absolute;margin-left:426.7pt;margin-top:10.9pt;width:130.15pt;height:25pt;z-index:251749376;mso-width-relative:page;mso-height-relative:page">
            <v:textbox>
              <w:txbxContent>
                <w:p w:rsidR="00815898" w:rsidRDefault="00815898">
                  <w:pPr>
                    <w:jc w:val="center"/>
                    <w:rPr>
                      <w:b/>
                    </w:rPr>
                  </w:pPr>
                  <w:r>
                    <w:rPr>
                      <w:b/>
                    </w:rPr>
                    <w:t>SEKRETARIAT</w:t>
                  </w:r>
                </w:p>
              </w:txbxContent>
            </v:textbox>
          </v:shape>
        </w:pict>
      </w:r>
    </w:p>
    <w:p w:rsidR="007335FD" w:rsidRDefault="007335FD">
      <w:pPr>
        <w:rPr>
          <w:rFonts w:ascii="Arial Narrow" w:hAnsi="Arial Narrow"/>
        </w:rPr>
      </w:pPr>
    </w:p>
    <w:p w:rsidR="007335FD" w:rsidRDefault="00851EC5">
      <w:pPr>
        <w:pStyle w:val="NoSpacing"/>
        <w:spacing w:line="360" w:lineRule="auto"/>
        <w:sectPr w:rsidR="007335FD">
          <w:footerReference w:type="even" r:id="rId13"/>
          <w:footerReference w:type="default" r:id="rId14"/>
          <w:footerReference w:type="first" r:id="rId15"/>
          <w:pgSz w:w="16834" w:h="11909" w:orient="landscape"/>
          <w:pgMar w:top="1134" w:right="1440" w:bottom="1985" w:left="1440" w:header="709" w:footer="294"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pPr>
      <w:r>
        <w:rPr>
          <w:rFonts w:ascii="Tahoma" w:hAnsi="Tahoma" w:cs="Tahoma"/>
        </w:rPr>
        <w:pict>
          <v:shape id="_x0000_s1072" type="#_x0000_t32" style="position:absolute;left:0;text-align:left;margin-left:176.45pt;margin-top:177.05pt;width:14.7pt;height:0;flip:x;z-index:251785216;mso-width-relative:page;mso-height-relative:page" o:connectortype="straight"/>
        </w:pict>
      </w:r>
      <w:r>
        <w:rPr>
          <w:rFonts w:ascii="Tahoma" w:hAnsi="Tahoma" w:cs="Tahoma"/>
        </w:rPr>
        <w:pict>
          <v:shape id="_x0000_s1098" type="#_x0000_t202" style="position:absolute;left:0;text-align:left;margin-left:568.5pt;margin-top:155.55pt;width:138.2pt;height:53.2pt;z-index:251758592;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w:t>
                  </w:r>
                </w:p>
                <w:p w:rsidR="00815898" w:rsidRDefault="00815898">
                  <w:pPr>
                    <w:pStyle w:val="NoSpacing"/>
                    <w:spacing w:line="360" w:lineRule="auto"/>
                    <w:jc w:val="center"/>
                    <w:rPr>
                      <w:b/>
                      <w:bCs/>
                      <w:sz w:val="22"/>
                      <w:szCs w:val="22"/>
                    </w:rPr>
                  </w:pPr>
                  <w:r>
                    <w:rPr>
                      <w:b/>
                      <w:bCs/>
                      <w:sz w:val="22"/>
                      <w:szCs w:val="22"/>
                    </w:rPr>
                    <w:t>Fasiltasi Parpol dan Ormas</w:t>
                  </w:r>
                </w:p>
              </w:txbxContent>
            </v:textbox>
          </v:shape>
        </w:pict>
      </w:r>
      <w:r>
        <w:rPr>
          <w:rFonts w:ascii="Tahoma" w:hAnsi="Tahoma" w:cs="Tahoma"/>
        </w:rPr>
        <w:pict>
          <v:shape id="_x0000_s1094" type="#_x0000_t202" style="position:absolute;left:0;text-align:left;margin-left:568.15pt;margin-top:218.95pt;width:137.8pt;height:60.5pt;z-index:251762688;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 Hubungan Antar Lembaga dan Pemilu</w:t>
                  </w:r>
                </w:p>
              </w:txbxContent>
            </v:textbox>
          </v:shape>
        </w:pict>
      </w:r>
      <w:r>
        <w:rPr>
          <w:rFonts w:ascii="Tahoma" w:hAnsi="Tahoma" w:cs="Tahoma"/>
        </w:rPr>
        <w:pict>
          <v:shape id="_x0000_s1102" type="#_x0000_t202" style="position:absolute;left:0;text-align:left;margin-left:569.5pt;margin-top:84.55pt;width:134.7pt;height:61.6pt;z-index:251754496;mso-width-relative:page;mso-height-relative:page">
            <v:textbox>
              <w:txbxContent>
                <w:p w:rsidR="00815898" w:rsidRDefault="00815898">
                  <w:pPr>
                    <w:pStyle w:val="NoSpacing"/>
                    <w:spacing w:line="360" w:lineRule="auto"/>
                    <w:jc w:val="center"/>
                    <w:rPr>
                      <w:b/>
                      <w:bCs/>
                      <w:sz w:val="22"/>
                      <w:szCs w:val="22"/>
                    </w:rPr>
                  </w:pPr>
                  <w:r>
                    <w:rPr>
                      <w:b/>
                      <w:bCs/>
                      <w:sz w:val="22"/>
                      <w:szCs w:val="22"/>
                    </w:rPr>
                    <w:t>Bidang</w:t>
                  </w:r>
                </w:p>
                <w:p w:rsidR="00815898" w:rsidRDefault="00815898">
                  <w:pPr>
                    <w:pStyle w:val="NoSpacing"/>
                    <w:spacing w:line="360" w:lineRule="auto"/>
                    <w:jc w:val="center"/>
                    <w:rPr>
                      <w:b/>
                      <w:bCs/>
                      <w:sz w:val="22"/>
                      <w:szCs w:val="22"/>
                    </w:rPr>
                  </w:pPr>
                  <w:r>
                    <w:rPr>
                      <w:b/>
                      <w:bCs/>
                      <w:sz w:val="22"/>
                      <w:szCs w:val="22"/>
                    </w:rPr>
                    <w:t>Politik Dalam Negeri</w:t>
                  </w:r>
                </w:p>
                <w:p w:rsidR="00815898" w:rsidRDefault="00815898">
                  <w:pPr>
                    <w:jc w:val="center"/>
                    <w:rPr>
                      <w:b/>
                    </w:rPr>
                  </w:pPr>
                </w:p>
              </w:txbxContent>
            </v:textbox>
          </v:shape>
        </w:pict>
      </w:r>
      <w:r>
        <w:rPr>
          <w:rFonts w:ascii="Tahoma" w:hAnsi="Tahoma" w:cs="Tahoma"/>
        </w:rPr>
        <w:pict>
          <v:shape id="_x0000_s1110" type="#_x0000_t32" style="position:absolute;left:0;text-align:left;margin-left:551.65pt;margin-top:262.7pt;width:14.65pt;height:0;flip:x;z-index:251746304;mso-width-relative:page;mso-height-relative:page" o:connectortype="straight"/>
        </w:pict>
      </w:r>
      <w:r>
        <w:rPr>
          <w:rFonts w:ascii="Tahoma" w:hAnsi="Tahoma" w:cs="Tahoma"/>
        </w:rPr>
        <w:pict>
          <v:shape id="_x0000_s1116" type="#_x0000_t32" style="position:absolute;left:0;text-align:left;margin-left:552.65pt;margin-top:98.3pt;width:.55pt;height:163.8pt;z-index:251740160;mso-width-relative:page;mso-height-relative:page"/>
        </w:pict>
      </w:r>
      <w:r>
        <w:rPr>
          <w:rFonts w:ascii="Tahoma" w:hAnsi="Tahoma" w:cs="Tahoma"/>
        </w:rPr>
        <w:pict>
          <v:shape id="_x0000_s1099" type="#_x0000_t202" style="position:absolute;left:0;text-align:left;margin-left:371.85pt;margin-top:152.4pt;width:152pt;height:49pt;z-index:251757568;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 Ketahanan Ekonomi</w:t>
                  </w:r>
                </w:p>
              </w:txbxContent>
            </v:textbox>
          </v:shape>
        </w:pict>
      </w:r>
      <w:r>
        <w:rPr>
          <w:rFonts w:ascii="Tahoma" w:hAnsi="Tahoma" w:cs="Tahoma"/>
        </w:rPr>
        <w:pict>
          <v:shape id="_x0000_s1095" type="#_x0000_t202" style="position:absolute;left:0;text-align:left;margin-left:372.5pt;margin-top:219pt;width:148pt;height:64.65pt;z-index:251761664;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w:t>
                  </w:r>
                </w:p>
                <w:p w:rsidR="00815898" w:rsidRDefault="00815898">
                  <w:pPr>
                    <w:pStyle w:val="NoSpacing"/>
                    <w:spacing w:line="360" w:lineRule="auto"/>
                    <w:jc w:val="center"/>
                    <w:rPr>
                      <w:b/>
                      <w:bCs/>
                      <w:sz w:val="22"/>
                      <w:szCs w:val="22"/>
                    </w:rPr>
                  </w:pPr>
                  <w:r>
                    <w:rPr>
                      <w:b/>
                      <w:bCs/>
                      <w:sz w:val="22"/>
                      <w:szCs w:val="22"/>
                    </w:rPr>
                    <w:t>Ketahanan Sosial Budaya dan Agama</w:t>
                  </w:r>
                </w:p>
              </w:txbxContent>
            </v:textbox>
          </v:shape>
        </w:pict>
      </w:r>
      <w:r>
        <w:rPr>
          <w:rFonts w:ascii="Tahoma" w:hAnsi="Tahoma" w:cs="Tahoma"/>
        </w:rPr>
        <w:pict>
          <v:shape id="_x0000_s1113" type="#_x0000_t32" style="position:absolute;left:0;text-align:left;margin-left:354.4pt;margin-top:255.55pt;width:14.7pt;height:0;flip:x;z-index:251743232;mso-width-relative:page;mso-height-relative:page" o:connectortype="straight"/>
        </w:pict>
      </w:r>
      <w:r>
        <w:rPr>
          <w:rFonts w:ascii="Tahoma" w:hAnsi="Tahoma" w:cs="Tahoma"/>
        </w:rPr>
        <w:pict>
          <v:shape id="_x0000_s1112" type="#_x0000_t32" style="position:absolute;left:0;text-align:left;margin-left:356.1pt;margin-top:168.35pt;width:14.7pt;height:0;flip:x;z-index:251744256;mso-width-relative:page;mso-height-relative:page" o:connectortype="straight"/>
        </w:pict>
      </w:r>
      <w:r>
        <w:rPr>
          <w:rFonts w:ascii="Tahoma" w:hAnsi="Tahoma" w:cs="Tahoma"/>
        </w:rPr>
        <w:pict>
          <v:shape id="_x0000_s1080" type="#_x0000_t32" style="position:absolute;left:0;text-align:left;margin-left:435.55pt;margin-top:65.35pt;width:.05pt;height:21.75pt;z-index:251777024;mso-width-relative:page;mso-height-relative:page" o:connectortype="straight"/>
        </w:pict>
      </w:r>
      <w:r>
        <w:rPr>
          <w:rFonts w:ascii="Tahoma" w:hAnsi="Tahoma" w:cs="Tahoma"/>
        </w:rPr>
        <w:pict>
          <v:shape id="_x0000_s1103" type="#_x0000_t202" style="position:absolute;left:0;text-align:left;margin-left:372.4pt;margin-top:86.05pt;width:152.45pt;height:57.05pt;z-index:251753472;mso-width-relative:page;mso-height-relative:page">
            <v:textbox>
              <w:txbxContent>
                <w:p w:rsidR="00815898" w:rsidRDefault="00815898">
                  <w:pPr>
                    <w:pStyle w:val="NoSpacing"/>
                    <w:spacing w:line="360" w:lineRule="auto"/>
                    <w:jc w:val="center"/>
                    <w:rPr>
                      <w:b/>
                      <w:bCs/>
                      <w:sz w:val="22"/>
                      <w:szCs w:val="22"/>
                    </w:rPr>
                  </w:pPr>
                  <w:r>
                    <w:rPr>
                      <w:b/>
                      <w:bCs/>
                      <w:sz w:val="22"/>
                      <w:szCs w:val="22"/>
                    </w:rPr>
                    <w:t>Bidang</w:t>
                  </w:r>
                </w:p>
                <w:p w:rsidR="00815898" w:rsidRDefault="00815898">
                  <w:pPr>
                    <w:pStyle w:val="NoSpacing"/>
                    <w:spacing w:line="360" w:lineRule="auto"/>
                    <w:jc w:val="center"/>
                    <w:rPr>
                      <w:b/>
                      <w:bCs/>
                      <w:sz w:val="22"/>
                      <w:szCs w:val="22"/>
                    </w:rPr>
                  </w:pPr>
                  <w:r>
                    <w:rPr>
                      <w:b/>
                      <w:bCs/>
                      <w:sz w:val="22"/>
                      <w:szCs w:val="22"/>
                    </w:rPr>
                    <w:t>Pembinaan Kemasyarakatan</w:t>
                  </w:r>
                </w:p>
              </w:txbxContent>
            </v:textbox>
          </v:shape>
        </w:pict>
      </w:r>
      <w:r>
        <w:rPr>
          <w:rFonts w:ascii="Tahoma" w:hAnsi="Tahoma" w:cs="Tahoma"/>
        </w:rPr>
        <w:pict>
          <v:shape id="_x0000_s1114" type="#_x0000_t32" style="position:absolute;left:0;text-align:left;margin-left:355.75pt;margin-top:93.2pt;width:14.7pt;height:0;flip:x;z-index:251742208;mso-width-relative:page;mso-height-relative:page" o:connectortype="straight"/>
        </w:pict>
      </w:r>
      <w:r>
        <w:rPr>
          <w:rFonts w:ascii="Tahoma" w:hAnsi="Tahoma" w:cs="Tahoma"/>
        </w:rPr>
        <w:pict>
          <v:shape id="_x0000_s1117" type="#_x0000_t32" style="position:absolute;left:0;text-align:left;margin-left:355.25pt;margin-top:93.2pt;width:.7pt;height:161.85pt;flip:x;z-index:251739136;mso-width-relative:page;mso-height-relative:page"/>
        </w:pict>
      </w:r>
      <w:r>
        <w:pict>
          <v:shape id="_x0000_s1030" type="#_x0000_t32" style="position:absolute;left:0;text-align:left;margin-left:175.25pt;margin-top:258.2pt;width:14.7pt;height:0;flip:x;z-index:251793408;mso-width-relative:page;mso-height-relative:page" o:connectortype="straight"/>
        </w:pict>
      </w:r>
      <w:r>
        <w:pict>
          <v:shape id="_x0000_s1097" type="#_x0000_t202" style="position:absolute;left:0;text-align:left;margin-left:192.85pt;margin-top:155.5pt;width:130.15pt;height:53.4pt;z-index:251759616;mso-width-relative:page;mso-height-relative:page">
            <v:textbox>
              <w:txbxContent>
                <w:p w:rsidR="00815898" w:rsidRDefault="00815898">
                  <w:pPr>
                    <w:spacing w:line="360" w:lineRule="auto"/>
                    <w:jc w:val="center"/>
                    <w:rPr>
                      <w:b/>
                    </w:rPr>
                  </w:pPr>
                  <w:r>
                    <w:rPr>
                      <w:b/>
                    </w:rPr>
                    <w:t>Sub. Bidang PAM dan Waspadnas</w:t>
                  </w:r>
                </w:p>
                <w:p w:rsidR="00815898" w:rsidRDefault="00815898"/>
              </w:txbxContent>
            </v:textbox>
          </v:shape>
        </w:pict>
      </w:r>
      <w:r>
        <w:pict>
          <v:shape id="_x0000_s1093" type="#_x0000_t202" style="position:absolute;left:0;text-align:left;margin-left:191.85pt;margin-top:228.65pt;width:130.15pt;height:48.9pt;z-index:251763712;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w:t>
                  </w:r>
                </w:p>
                <w:p w:rsidR="00815898" w:rsidRDefault="00815898">
                  <w:pPr>
                    <w:pStyle w:val="NoSpacing"/>
                    <w:spacing w:line="360" w:lineRule="auto"/>
                    <w:jc w:val="center"/>
                    <w:rPr>
                      <w:b/>
                      <w:bCs/>
                      <w:sz w:val="22"/>
                      <w:szCs w:val="22"/>
                    </w:rPr>
                  </w:pPr>
                  <w:r>
                    <w:rPr>
                      <w:b/>
                      <w:bCs/>
                      <w:sz w:val="22"/>
                      <w:szCs w:val="22"/>
                    </w:rPr>
                    <w:t>Penanganan Konflik</w:t>
                  </w:r>
                </w:p>
              </w:txbxContent>
            </v:textbox>
          </v:shape>
        </w:pict>
      </w:r>
      <w:r>
        <w:pict>
          <v:shape id="_x0000_s1092" type="#_x0000_t202" style="position:absolute;left:0;text-align:left;margin-left:12.75pt;margin-top:224.7pt;width:144.25pt;height:52.45pt;z-index:251764736;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w:t>
                  </w:r>
                </w:p>
                <w:p w:rsidR="00815898" w:rsidRDefault="00815898">
                  <w:pPr>
                    <w:pStyle w:val="NoSpacing"/>
                    <w:spacing w:line="360" w:lineRule="auto"/>
                    <w:jc w:val="center"/>
                    <w:rPr>
                      <w:b/>
                      <w:bCs/>
                      <w:sz w:val="22"/>
                      <w:szCs w:val="22"/>
                    </w:rPr>
                  </w:pPr>
                  <w:r>
                    <w:rPr>
                      <w:b/>
                      <w:bCs/>
                      <w:sz w:val="22"/>
                      <w:szCs w:val="22"/>
                    </w:rPr>
                    <w:t>Bina Wasbang</w:t>
                  </w:r>
                </w:p>
              </w:txbxContent>
            </v:textbox>
          </v:shape>
        </w:pict>
      </w:r>
      <w:r>
        <w:pict>
          <v:shape id="_x0000_s1096" type="#_x0000_t202" style="position:absolute;left:0;text-align:left;margin-left:13pt;margin-top:158.25pt;width:144.25pt;height:54.05pt;z-index:251760640;mso-width-relative:page;mso-height-relative:page">
            <v:textbox>
              <w:txbxContent>
                <w:p w:rsidR="00815898" w:rsidRDefault="00815898">
                  <w:pPr>
                    <w:pStyle w:val="NoSpacing"/>
                    <w:spacing w:line="360" w:lineRule="auto"/>
                    <w:jc w:val="center"/>
                    <w:rPr>
                      <w:b/>
                      <w:bCs/>
                      <w:sz w:val="22"/>
                      <w:szCs w:val="22"/>
                    </w:rPr>
                  </w:pPr>
                  <w:r>
                    <w:rPr>
                      <w:b/>
                      <w:bCs/>
                      <w:sz w:val="22"/>
                      <w:szCs w:val="22"/>
                    </w:rPr>
                    <w:t>Sub. Bidang</w:t>
                  </w:r>
                </w:p>
                <w:p w:rsidR="00815898" w:rsidRDefault="00815898">
                  <w:pPr>
                    <w:spacing w:line="360" w:lineRule="auto"/>
                    <w:jc w:val="center"/>
                    <w:rPr>
                      <w:b/>
                    </w:rPr>
                  </w:pPr>
                  <w:r>
                    <w:rPr>
                      <w:b/>
                      <w:bCs/>
                    </w:rPr>
                    <w:t>Bina Idiologi</w:t>
                  </w:r>
                </w:p>
              </w:txbxContent>
            </v:textbox>
          </v:shape>
        </w:pict>
      </w:r>
      <w:r>
        <w:pict>
          <v:shape id="_x0000_s1074" type="#_x0000_t32" style="position:absolute;left:0;text-align:left;margin-left:-1.55pt;margin-top:176.2pt;width:14.7pt;height:0;flip:x;z-index:251783168;mso-width-relative:page;mso-height-relative:page" o:connectortype="straight"/>
        </w:pict>
      </w:r>
      <w:r>
        <w:pict>
          <v:shape id="_x0000_s1075" type="#_x0000_t32" style="position:absolute;left:0;text-align:left;margin-left:-2.8pt;margin-top:245.75pt;width:14.7pt;height:0;flip:x;z-index:251782144;mso-width-relative:page;mso-height-relative:page" o:connectortype="straight"/>
        </w:pict>
      </w: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lastRenderedPageBreak/>
        <w:t>1.3.3 Sumber Daya Badan Kesbangpol</w:t>
      </w: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t>1.3.3.1 Sumber Daya Manusia</w:t>
      </w:r>
    </w:p>
    <w:p w:rsidR="007335FD" w:rsidRDefault="00815898">
      <w:pPr>
        <w:spacing w:line="360" w:lineRule="auto"/>
        <w:ind w:leftChars="399" w:left="878" w:firstLine="441"/>
        <w:jc w:val="both"/>
        <w:rPr>
          <w:rFonts w:hAnsi="Segoe UI Black" w:cs="Segoe UI Black"/>
          <w:b/>
          <w:bCs/>
          <w:sz w:val="24"/>
          <w:szCs w:val="24"/>
        </w:rPr>
      </w:pPr>
      <w:proofErr w:type="gramStart"/>
      <w:r>
        <w:rPr>
          <w:rFonts w:eastAsia="Calibri" w:hAnsi="Tahoma" w:cs="Tahoma"/>
          <w:bCs/>
          <w:sz w:val="24"/>
          <w:szCs w:val="24"/>
        </w:rPr>
        <w:t>Sumber Daya Manusia Aparatur Badan Kesatuan Bangsa dan Politik Provinsi Sumatera Barat yang menjadi pelaksana tugas pokok dan fungsi Badan Kesbangpol yang selanjutnya diuraikan menjadi tugas pokok dan fungsi masing-masing bidang berjumlah 45 orang.</w:t>
      </w:r>
      <w:proofErr w:type="gramEnd"/>
      <w:r>
        <w:rPr>
          <w:rFonts w:eastAsia="Calibri" w:hAnsi="Tahoma" w:cs="Tahoma"/>
          <w:bCs/>
          <w:sz w:val="24"/>
          <w:szCs w:val="24"/>
        </w:rPr>
        <w:t xml:space="preserve"> Komposisi pegawai tersebut berdasarkan jenis kelamin terdiri dari 17 orang (37</w:t>
      </w:r>
      <w:proofErr w:type="gramStart"/>
      <w:r>
        <w:rPr>
          <w:rFonts w:eastAsia="Calibri" w:hAnsi="Tahoma" w:cs="Tahoma"/>
          <w:bCs/>
          <w:sz w:val="24"/>
          <w:szCs w:val="24"/>
        </w:rPr>
        <w:t>,78</w:t>
      </w:r>
      <w:proofErr w:type="gramEnd"/>
      <w:r>
        <w:rPr>
          <w:rFonts w:eastAsia="Calibri" w:hAnsi="Tahoma" w:cs="Tahoma"/>
          <w:bCs/>
          <w:sz w:val="24"/>
          <w:szCs w:val="24"/>
        </w:rPr>
        <w:t>%) perempuan dan 28 orang (62,22%) laki-laki. Dari data tersebut terdapat ketimpangan jumlah perempuan dengan laki-laki sebesar 24</w:t>
      </w:r>
      <w:proofErr w:type="gramStart"/>
      <w:r>
        <w:rPr>
          <w:rFonts w:eastAsia="Calibri" w:hAnsi="Tahoma" w:cs="Tahoma"/>
          <w:bCs/>
          <w:sz w:val="24"/>
          <w:szCs w:val="24"/>
        </w:rPr>
        <w:t>,44</w:t>
      </w:r>
      <w:proofErr w:type="gramEnd"/>
      <w:r>
        <w:rPr>
          <w:rFonts w:eastAsia="Calibri" w:hAnsi="Tahoma" w:cs="Tahoma"/>
          <w:bCs/>
          <w:sz w:val="24"/>
          <w:szCs w:val="24"/>
        </w:rPr>
        <w:t>% namun ketimpangan tersebut tidak berpengaruh secara signifikan terhadap lingkungan dan budaya kerja serta kinerjanya.</w:t>
      </w:r>
    </w:p>
    <w:p w:rsidR="007335FD" w:rsidRDefault="00815898">
      <w:pPr>
        <w:pStyle w:val="NoSpacing"/>
        <w:ind w:leftChars="400" w:left="880"/>
        <w:jc w:val="center"/>
        <w:rPr>
          <w:b/>
          <w:bCs/>
          <w:sz w:val="24"/>
          <w:szCs w:val="24"/>
        </w:rPr>
      </w:pPr>
      <w:r>
        <w:rPr>
          <w:b/>
          <w:bCs/>
          <w:sz w:val="24"/>
          <w:szCs w:val="24"/>
        </w:rPr>
        <w:t>Gambar 1.2 Komposisi Pegawai Berdasarkan Jenis Kelamin</w:t>
      </w:r>
    </w:p>
    <w:p w:rsidR="007335FD" w:rsidRDefault="00815898">
      <w:pPr>
        <w:pStyle w:val="NoSpacing"/>
        <w:ind w:leftChars="400" w:left="882" w:hanging="2"/>
        <w:jc w:val="center"/>
        <w:rPr>
          <w:b/>
          <w:bCs/>
          <w:sz w:val="24"/>
          <w:szCs w:val="24"/>
        </w:rPr>
      </w:pPr>
      <w:r>
        <w:rPr>
          <w:b/>
          <w:bCs/>
          <w:sz w:val="24"/>
          <w:szCs w:val="24"/>
        </w:rPr>
        <w:t>Pada Badan Kesbangpol Provinsi Sumatera Barat</w:t>
      </w:r>
    </w:p>
    <w:p w:rsidR="007335FD" w:rsidRDefault="007335FD">
      <w:pPr>
        <w:pStyle w:val="NoSpacing"/>
        <w:jc w:val="center"/>
        <w:rPr>
          <w:b/>
          <w:bCs/>
          <w:sz w:val="24"/>
          <w:szCs w:val="24"/>
        </w:rPr>
      </w:pPr>
    </w:p>
    <w:p w:rsidR="007335FD" w:rsidRDefault="00815898">
      <w:pPr>
        <w:spacing w:line="480" w:lineRule="auto"/>
        <w:ind w:left="720" w:right="-21" w:firstLine="360"/>
        <w:jc w:val="center"/>
        <w:rPr>
          <w:rFonts w:ascii="Tahoma" w:eastAsia="Calibri" w:hAnsi="Tahoma" w:cs="Tahoma"/>
          <w:bCs/>
        </w:rPr>
      </w:pPr>
      <w:r>
        <w:rPr>
          <w:rFonts w:ascii="Tahoma" w:eastAsia="Calibri" w:hAnsi="Tahoma" w:cs="Tahoma"/>
          <w:bCs/>
          <w:noProof/>
        </w:rPr>
        <w:drawing>
          <wp:inline distT="0" distB="0" distL="114300" distR="114300">
            <wp:extent cx="4491355" cy="2761615"/>
            <wp:effectExtent l="10795" t="10795" r="1905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35FD" w:rsidRDefault="00815898">
      <w:pPr>
        <w:spacing w:line="480" w:lineRule="auto"/>
        <w:ind w:left="1440" w:right="-21"/>
        <w:rPr>
          <w:rFonts w:ascii="Tahoma" w:eastAsia="Calibri" w:hAnsi="Tahoma" w:cs="Tahoma"/>
          <w:bCs/>
        </w:rPr>
      </w:pPr>
      <w:r>
        <w:rPr>
          <w:rFonts w:ascii="Tahoma" w:eastAsia="Calibri" w:hAnsi="Tahoma" w:cs="Tahoma"/>
          <w:bCs/>
        </w:rPr>
        <w:t xml:space="preserve">   </w:t>
      </w:r>
      <w:proofErr w:type="gramStart"/>
      <w:r>
        <w:rPr>
          <w:rFonts w:ascii="Tahoma" w:eastAsia="Calibri" w:hAnsi="Tahoma" w:cs="Tahoma"/>
          <w:bCs/>
          <w:i/>
          <w:sz w:val="18"/>
          <w:szCs w:val="18"/>
        </w:rPr>
        <w:t>Sumber :</w:t>
      </w:r>
      <w:proofErr w:type="gramEnd"/>
      <w:r>
        <w:rPr>
          <w:rFonts w:ascii="Tahoma" w:eastAsia="Calibri" w:hAnsi="Tahoma" w:cs="Tahoma"/>
          <w:bCs/>
          <w:i/>
          <w:sz w:val="18"/>
          <w:szCs w:val="18"/>
        </w:rPr>
        <w:t xml:space="preserve"> Subag Umum dan Kepeg. Badan Kesbangpol Provinsi Sumatera Barat</w:t>
      </w:r>
    </w:p>
    <w:p w:rsidR="007335FD" w:rsidRDefault="007335FD">
      <w:pPr>
        <w:spacing w:line="360" w:lineRule="auto"/>
        <w:ind w:leftChars="300" w:left="660"/>
        <w:jc w:val="both"/>
        <w:rPr>
          <w:rFonts w:eastAsia="Batang" w:cs="Aparajita"/>
          <w:sz w:val="24"/>
          <w:szCs w:val="24"/>
        </w:rPr>
        <w:sectPr w:rsidR="007335FD">
          <w:pgSz w:w="11909" w:h="16834"/>
          <w:pgMar w:top="1440" w:right="1134" w:bottom="1531" w:left="1440" w:header="706"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0"/>
          <w:docGrid w:linePitch="360"/>
        </w:sectPr>
      </w:pPr>
    </w:p>
    <w:p w:rsidR="007335FD" w:rsidRDefault="00815898">
      <w:pPr>
        <w:spacing w:line="360" w:lineRule="auto"/>
        <w:ind w:left="880" w:right="-21"/>
        <w:jc w:val="both"/>
        <w:rPr>
          <w:rFonts w:eastAsia="Calibri" w:hAnsi="Tahoma" w:cs="Tahoma"/>
          <w:bCs/>
          <w:sz w:val="24"/>
          <w:szCs w:val="24"/>
        </w:rPr>
      </w:pPr>
      <w:r>
        <w:rPr>
          <w:rFonts w:eastAsia="Calibri" w:hAnsi="Tahoma" w:cs="Tahoma"/>
          <w:bCs/>
          <w:sz w:val="24"/>
          <w:szCs w:val="24"/>
        </w:rPr>
        <w:lastRenderedPageBreak/>
        <w:t>Berdasarkan tingkat pendidikan pegawai dapat dilihat pada tabel berikut:</w:t>
      </w:r>
    </w:p>
    <w:p w:rsidR="007335FD" w:rsidRDefault="00815898">
      <w:pPr>
        <w:pStyle w:val="NoSpacing"/>
        <w:ind w:leftChars="99" w:left="220" w:hanging="2"/>
        <w:jc w:val="center"/>
        <w:rPr>
          <w:b/>
          <w:bCs/>
          <w:sz w:val="24"/>
          <w:szCs w:val="24"/>
        </w:rPr>
      </w:pPr>
      <w:proofErr w:type="gramStart"/>
      <w:r>
        <w:rPr>
          <w:b/>
          <w:bCs/>
          <w:sz w:val="24"/>
          <w:szCs w:val="24"/>
        </w:rPr>
        <w:t>Tabel 1.1.</w:t>
      </w:r>
      <w:proofErr w:type="gramEnd"/>
      <w:r>
        <w:rPr>
          <w:b/>
          <w:bCs/>
          <w:sz w:val="24"/>
          <w:szCs w:val="24"/>
        </w:rPr>
        <w:t xml:space="preserve"> Daftar Tingkat Pendidikan Pegawai Badan Kesbangpol</w:t>
      </w:r>
    </w:p>
    <w:p w:rsidR="007335FD" w:rsidRDefault="00815898">
      <w:pPr>
        <w:ind w:left="360" w:right="-21"/>
        <w:jc w:val="center"/>
        <w:rPr>
          <w:rFonts w:ascii="Tahoma" w:eastAsia="Calibri" w:hAnsi="Tahoma" w:cs="Tahoma"/>
          <w:b/>
          <w:bCs/>
          <w:sz w:val="12"/>
          <w:szCs w:val="12"/>
        </w:rPr>
      </w:pPr>
      <w:r>
        <w:rPr>
          <w:b/>
          <w:bCs/>
          <w:sz w:val="24"/>
          <w:szCs w:val="24"/>
        </w:rPr>
        <w:t>Provinsi Sumatera Barat Tahun 2018</w:t>
      </w:r>
    </w:p>
    <w:tbl>
      <w:tblPr>
        <w:tblW w:w="6563" w:type="dxa"/>
        <w:jc w:val="center"/>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2556"/>
        <w:gridCol w:w="1282"/>
        <w:gridCol w:w="1978"/>
      </w:tblGrid>
      <w:tr w:rsidR="007335FD">
        <w:trPr>
          <w:trHeight w:val="501"/>
          <w:jc w:val="center"/>
        </w:trPr>
        <w:tc>
          <w:tcPr>
            <w:tcW w:w="747" w:type="dxa"/>
            <w:shd w:val="clear" w:color="auto" w:fill="C00000"/>
            <w:vAlign w:val="center"/>
          </w:tcPr>
          <w:p w:rsidR="007335FD" w:rsidRDefault="00815898">
            <w:pPr>
              <w:pStyle w:val="NoSpacing"/>
              <w:jc w:val="center"/>
              <w:rPr>
                <w:b/>
                <w:bCs/>
                <w:sz w:val="24"/>
                <w:szCs w:val="24"/>
              </w:rPr>
            </w:pPr>
            <w:r>
              <w:rPr>
                <w:b/>
                <w:bCs/>
                <w:sz w:val="24"/>
                <w:szCs w:val="24"/>
              </w:rPr>
              <w:t>No</w:t>
            </w:r>
          </w:p>
        </w:tc>
        <w:tc>
          <w:tcPr>
            <w:tcW w:w="2556" w:type="dxa"/>
            <w:shd w:val="clear" w:color="auto" w:fill="C00000"/>
            <w:vAlign w:val="center"/>
          </w:tcPr>
          <w:p w:rsidR="007335FD" w:rsidRDefault="00815898">
            <w:pPr>
              <w:pStyle w:val="NoSpacing"/>
              <w:rPr>
                <w:b/>
                <w:bCs/>
                <w:sz w:val="24"/>
                <w:szCs w:val="24"/>
              </w:rPr>
            </w:pPr>
            <w:r>
              <w:rPr>
                <w:b/>
                <w:bCs/>
                <w:sz w:val="24"/>
                <w:szCs w:val="24"/>
              </w:rPr>
              <w:t>Tingkat Pendidikan</w:t>
            </w:r>
          </w:p>
        </w:tc>
        <w:tc>
          <w:tcPr>
            <w:tcW w:w="1282" w:type="dxa"/>
            <w:shd w:val="clear" w:color="auto" w:fill="C00000"/>
            <w:vAlign w:val="center"/>
          </w:tcPr>
          <w:p w:rsidR="007335FD" w:rsidRDefault="00815898">
            <w:pPr>
              <w:pStyle w:val="NoSpacing"/>
              <w:jc w:val="center"/>
              <w:rPr>
                <w:b/>
                <w:bCs/>
                <w:sz w:val="24"/>
                <w:szCs w:val="24"/>
              </w:rPr>
            </w:pPr>
            <w:r>
              <w:rPr>
                <w:b/>
                <w:bCs/>
                <w:sz w:val="24"/>
                <w:szCs w:val="24"/>
              </w:rPr>
              <w:t>Jumlah</w:t>
            </w:r>
          </w:p>
        </w:tc>
        <w:tc>
          <w:tcPr>
            <w:tcW w:w="1978" w:type="dxa"/>
            <w:shd w:val="clear" w:color="auto" w:fill="C00000"/>
            <w:vAlign w:val="center"/>
          </w:tcPr>
          <w:p w:rsidR="007335FD" w:rsidRDefault="00815898">
            <w:pPr>
              <w:pStyle w:val="NoSpacing"/>
              <w:jc w:val="center"/>
              <w:rPr>
                <w:b/>
                <w:bCs/>
                <w:sz w:val="24"/>
                <w:szCs w:val="24"/>
              </w:rPr>
            </w:pPr>
            <w:r>
              <w:rPr>
                <w:b/>
                <w:bCs/>
                <w:sz w:val="24"/>
                <w:szCs w:val="24"/>
              </w:rPr>
              <w:t>Persentase</w:t>
            </w:r>
          </w:p>
        </w:tc>
      </w:tr>
      <w:tr w:rsidR="007335FD">
        <w:trPr>
          <w:trHeight w:val="90"/>
          <w:jc w:val="center"/>
        </w:trPr>
        <w:tc>
          <w:tcPr>
            <w:tcW w:w="747" w:type="dxa"/>
          </w:tcPr>
          <w:p w:rsidR="007335FD" w:rsidRDefault="00815898">
            <w:pPr>
              <w:pStyle w:val="NoSpacing"/>
              <w:jc w:val="center"/>
              <w:rPr>
                <w:sz w:val="24"/>
                <w:szCs w:val="24"/>
              </w:rPr>
            </w:pPr>
            <w:r>
              <w:rPr>
                <w:sz w:val="24"/>
                <w:szCs w:val="24"/>
              </w:rPr>
              <w:t>1</w:t>
            </w:r>
          </w:p>
        </w:tc>
        <w:tc>
          <w:tcPr>
            <w:tcW w:w="2556" w:type="dxa"/>
          </w:tcPr>
          <w:p w:rsidR="007335FD" w:rsidRDefault="00815898">
            <w:pPr>
              <w:pStyle w:val="NoSpacing"/>
              <w:jc w:val="center"/>
              <w:rPr>
                <w:sz w:val="24"/>
                <w:szCs w:val="24"/>
              </w:rPr>
            </w:pPr>
            <w:r>
              <w:rPr>
                <w:sz w:val="24"/>
                <w:szCs w:val="24"/>
              </w:rPr>
              <w:t>SLTP</w:t>
            </w:r>
          </w:p>
        </w:tc>
        <w:tc>
          <w:tcPr>
            <w:tcW w:w="1282" w:type="dxa"/>
            <w:vAlign w:val="bottom"/>
          </w:tcPr>
          <w:p w:rsidR="007335FD" w:rsidRDefault="00815898">
            <w:pPr>
              <w:pStyle w:val="NoSpacing"/>
              <w:jc w:val="center"/>
              <w:rPr>
                <w:sz w:val="24"/>
                <w:szCs w:val="24"/>
              </w:rPr>
            </w:pPr>
            <w:r>
              <w:rPr>
                <w:sz w:val="24"/>
                <w:szCs w:val="24"/>
              </w:rPr>
              <w:t>0</w:t>
            </w:r>
          </w:p>
        </w:tc>
        <w:tc>
          <w:tcPr>
            <w:tcW w:w="1978" w:type="dxa"/>
            <w:vAlign w:val="bottom"/>
          </w:tcPr>
          <w:p w:rsidR="007335FD" w:rsidRDefault="00815898">
            <w:pPr>
              <w:pStyle w:val="NoSpacing"/>
              <w:jc w:val="center"/>
              <w:rPr>
                <w:sz w:val="24"/>
                <w:szCs w:val="24"/>
              </w:rPr>
            </w:pPr>
            <w:r>
              <w:rPr>
                <w:sz w:val="24"/>
                <w:szCs w:val="24"/>
              </w:rPr>
              <w:t xml:space="preserve"> 0%</w:t>
            </w:r>
          </w:p>
        </w:tc>
      </w:tr>
      <w:tr w:rsidR="007335FD">
        <w:trPr>
          <w:trHeight w:val="242"/>
          <w:jc w:val="center"/>
        </w:trPr>
        <w:tc>
          <w:tcPr>
            <w:tcW w:w="747" w:type="dxa"/>
          </w:tcPr>
          <w:p w:rsidR="007335FD" w:rsidRDefault="00815898">
            <w:pPr>
              <w:pStyle w:val="NoSpacing"/>
              <w:jc w:val="center"/>
              <w:rPr>
                <w:sz w:val="24"/>
                <w:szCs w:val="24"/>
              </w:rPr>
            </w:pPr>
            <w:r>
              <w:rPr>
                <w:sz w:val="24"/>
                <w:szCs w:val="24"/>
              </w:rPr>
              <w:t>2</w:t>
            </w:r>
          </w:p>
        </w:tc>
        <w:tc>
          <w:tcPr>
            <w:tcW w:w="2556" w:type="dxa"/>
          </w:tcPr>
          <w:p w:rsidR="007335FD" w:rsidRDefault="00815898">
            <w:pPr>
              <w:pStyle w:val="NoSpacing"/>
              <w:jc w:val="center"/>
              <w:rPr>
                <w:sz w:val="24"/>
                <w:szCs w:val="24"/>
              </w:rPr>
            </w:pPr>
            <w:r>
              <w:rPr>
                <w:sz w:val="24"/>
                <w:szCs w:val="24"/>
              </w:rPr>
              <w:t>SLTA</w:t>
            </w:r>
          </w:p>
        </w:tc>
        <w:tc>
          <w:tcPr>
            <w:tcW w:w="1282" w:type="dxa"/>
            <w:vAlign w:val="bottom"/>
          </w:tcPr>
          <w:p w:rsidR="007335FD" w:rsidRDefault="00815898">
            <w:pPr>
              <w:pStyle w:val="NoSpacing"/>
              <w:jc w:val="center"/>
              <w:rPr>
                <w:sz w:val="24"/>
                <w:szCs w:val="24"/>
              </w:rPr>
            </w:pPr>
            <w:r>
              <w:rPr>
                <w:sz w:val="24"/>
                <w:szCs w:val="24"/>
              </w:rPr>
              <w:t>16</w:t>
            </w:r>
          </w:p>
        </w:tc>
        <w:tc>
          <w:tcPr>
            <w:tcW w:w="1978" w:type="dxa"/>
            <w:vAlign w:val="bottom"/>
          </w:tcPr>
          <w:p w:rsidR="007335FD" w:rsidRDefault="00815898">
            <w:pPr>
              <w:pStyle w:val="NoSpacing"/>
              <w:jc w:val="center"/>
              <w:rPr>
                <w:sz w:val="24"/>
                <w:szCs w:val="24"/>
              </w:rPr>
            </w:pPr>
            <w:r>
              <w:rPr>
                <w:sz w:val="24"/>
                <w:szCs w:val="24"/>
              </w:rPr>
              <w:t>36%</w:t>
            </w:r>
          </w:p>
        </w:tc>
      </w:tr>
      <w:tr w:rsidR="007335FD">
        <w:trPr>
          <w:trHeight w:val="259"/>
          <w:jc w:val="center"/>
        </w:trPr>
        <w:tc>
          <w:tcPr>
            <w:tcW w:w="747" w:type="dxa"/>
          </w:tcPr>
          <w:p w:rsidR="007335FD" w:rsidRDefault="00815898">
            <w:pPr>
              <w:pStyle w:val="NoSpacing"/>
              <w:jc w:val="center"/>
              <w:rPr>
                <w:sz w:val="24"/>
                <w:szCs w:val="24"/>
              </w:rPr>
            </w:pPr>
            <w:r>
              <w:rPr>
                <w:sz w:val="24"/>
                <w:szCs w:val="24"/>
              </w:rPr>
              <w:t>3</w:t>
            </w:r>
          </w:p>
        </w:tc>
        <w:tc>
          <w:tcPr>
            <w:tcW w:w="2556" w:type="dxa"/>
          </w:tcPr>
          <w:p w:rsidR="007335FD" w:rsidRDefault="00815898">
            <w:pPr>
              <w:pStyle w:val="NoSpacing"/>
              <w:jc w:val="center"/>
              <w:rPr>
                <w:sz w:val="24"/>
                <w:szCs w:val="24"/>
              </w:rPr>
            </w:pPr>
            <w:r>
              <w:rPr>
                <w:sz w:val="24"/>
                <w:szCs w:val="24"/>
              </w:rPr>
              <w:t>DIPLOMA III/ D-3</w:t>
            </w:r>
          </w:p>
        </w:tc>
        <w:tc>
          <w:tcPr>
            <w:tcW w:w="1282" w:type="dxa"/>
            <w:vAlign w:val="bottom"/>
          </w:tcPr>
          <w:p w:rsidR="007335FD" w:rsidRDefault="00815898">
            <w:pPr>
              <w:pStyle w:val="NoSpacing"/>
              <w:jc w:val="center"/>
              <w:rPr>
                <w:sz w:val="24"/>
                <w:szCs w:val="24"/>
              </w:rPr>
            </w:pPr>
            <w:r>
              <w:rPr>
                <w:sz w:val="24"/>
                <w:szCs w:val="24"/>
              </w:rPr>
              <w:t>1</w:t>
            </w:r>
          </w:p>
        </w:tc>
        <w:tc>
          <w:tcPr>
            <w:tcW w:w="1978" w:type="dxa"/>
            <w:vAlign w:val="bottom"/>
          </w:tcPr>
          <w:p w:rsidR="007335FD" w:rsidRDefault="00815898">
            <w:pPr>
              <w:pStyle w:val="NoSpacing"/>
              <w:jc w:val="center"/>
              <w:rPr>
                <w:sz w:val="24"/>
                <w:szCs w:val="24"/>
              </w:rPr>
            </w:pPr>
            <w:r>
              <w:rPr>
                <w:sz w:val="24"/>
                <w:szCs w:val="24"/>
              </w:rPr>
              <w:t xml:space="preserve"> 2%</w:t>
            </w:r>
          </w:p>
        </w:tc>
      </w:tr>
      <w:tr w:rsidR="007335FD">
        <w:trPr>
          <w:trHeight w:val="242"/>
          <w:jc w:val="center"/>
        </w:trPr>
        <w:tc>
          <w:tcPr>
            <w:tcW w:w="747" w:type="dxa"/>
          </w:tcPr>
          <w:p w:rsidR="007335FD" w:rsidRDefault="00815898">
            <w:pPr>
              <w:pStyle w:val="NoSpacing"/>
              <w:jc w:val="center"/>
              <w:rPr>
                <w:sz w:val="24"/>
                <w:szCs w:val="24"/>
              </w:rPr>
            </w:pPr>
            <w:r>
              <w:rPr>
                <w:sz w:val="24"/>
                <w:szCs w:val="24"/>
              </w:rPr>
              <w:t>4</w:t>
            </w:r>
          </w:p>
        </w:tc>
        <w:tc>
          <w:tcPr>
            <w:tcW w:w="2556" w:type="dxa"/>
          </w:tcPr>
          <w:p w:rsidR="007335FD" w:rsidRDefault="00815898">
            <w:pPr>
              <w:pStyle w:val="NoSpacing"/>
              <w:jc w:val="center"/>
              <w:rPr>
                <w:sz w:val="24"/>
                <w:szCs w:val="24"/>
              </w:rPr>
            </w:pPr>
            <w:r>
              <w:rPr>
                <w:sz w:val="24"/>
                <w:szCs w:val="24"/>
              </w:rPr>
              <w:t>STRATA 1</w:t>
            </w:r>
          </w:p>
        </w:tc>
        <w:tc>
          <w:tcPr>
            <w:tcW w:w="1282" w:type="dxa"/>
            <w:vAlign w:val="bottom"/>
          </w:tcPr>
          <w:p w:rsidR="007335FD" w:rsidRDefault="00815898">
            <w:pPr>
              <w:pStyle w:val="NoSpacing"/>
              <w:jc w:val="center"/>
              <w:rPr>
                <w:sz w:val="24"/>
                <w:szCs w:val="24"/>
              </w:rPr>
            </w:pPr>
            <w:r>
              <w:rPr>
                <w:sz w:val="24"/>
                <w:szCs w:val="24"/>
              </w:rPr>
              <w:t>21</w:t>
            </w:r>
          </w:p>
        </w:tc>
        <w:tc>
          <w:tcPr>
            <w:tcW w:w="1978" w:type="dxa"/>
            <w:vAlign w:val="bottom"/>
          </w:tcPr>
          <w:p w:rsidR="007335FD" w:rsidRDefault="00815898">
            <w:pPr>
              <w:pStyle w:val="NoSpacing"/>
              <w:jc w:val="center"/>
              <w:rPr>
                <w:sz w:val="24"/>
                <w:szCs w:val="24"/>
              </w:rPr>
            </w:pPr>
            <w:r>
              <w:rPr>
                <w:sz w:val="24"/>
                <w:szCs w:val="24"/>
              </w:rPr>
              <w:t>47%</w:t>
            </w:r>
          </w:p>
        </w:tc>
      </w:tr>
      <w:tr w:rsidR="007335FD">
        <w:trPr>
          <w:trHeight w:val="242"/>
          <w:jc w:val="center"/>
        </w:trPr>
        <w:tc>
          <w:tcPr>
            <w:tcW w:w="747" w:type="dxa"/>
          </w:tcPr>
          <w:p w:rsidR="007335FD" w:rsidRDefault="00815898">
            <w:pPr>
              <w:pStyle w:val="NoSpacing"/>
              <w:jc w:val="center"/>
              <w:rPr>
                <w:sz w:val="24"/>
                <w:szCs w:val="24"/>
              </w:rPr>
            </w:pPr>
            <w:r>
              <w:rPr>
                <w:sz w:val="24"/>
                <w:szCs w:val="24"/>
              </w:rPr>
              <w:t>5</w:t>
            </w:r>
          </w:p>
        </w:tc>
        <w:tc>
          <w:tcPr>
            <w:tcW w:w="2556" w:type="dxa"/>
          </w:tcPr>
          <w:p w:rsidR="007335FD" w:rsidRDefault="00815898">
            <w:pPr>
              <w:pStyle w:val="NoSpacing"/>
              <w:jc w:val="center"/>
              <w:rPr>
                <w:sz w:val="24"/>
                <w:szCs w:val="24"/>
              </w:rPr>
            </w:pPr>
            <w:r>
              <w:rPr>
                <w:sz w:val="24"/>
                <w:szCs w:val="24"/>
              </w:rPr>
              <w:t>STRATA 2</w:t>
            </w:r>
          </w:p>
        </w:tc>
        <w:tc>
          <w:tcPr>
            <w:tcW w:w="1282" w:type="dxa"/>
            <w:vAlign w:val="bottom"/>
          </w:tcPr>
          <w:p w:rsidR="007335FD" w:rsidRDefault="00815898">
            <w:pPr>
              <w:pStyle w:val="NoSpacing"/>
              <w:jc w:val="center"/>
              <w:rPr>
                <w:sz w:val="24"/>
                <w:szCs w:val="24"/>
              </w:rPr>
            </w:pPr>
            <w:r>
              <w:rPr>
                <w:sz w:val="24"/>
                <w:szCs w:val="24"/>
              </w:rPr>
              <w:t>7</w:t>
            </w:r>
          </w:p>
        </w:tc>
        <w:tc>
          <w:tcPr>
            <w:tcW w:w="1978" w:type="dxa"/>
            <w:vAlign w:val="bottom"/>
          </w:tcPr>
          <w:p w:rsidR="007335FD" w:rsidRDefault="00815898">
            <w:pPr>
              <w:pStyle w:val="NoSpacing"/>
              <w:jc w:val="center"/>
              <w:rPr>
                <w:sz w:val="24"/>
                <w:szCs w:val="24"/>
              </w:rPr>
            </w:pPr>
            <w:r>
              <w:rPr>
                <w:sz w:val="24"/>
                <w:szCs w:val="24"/>
              </w:rPr>
              <w:t>15%</w:t>
            </w:r>
          </w:p>
        </w:tc>
      </w:tr>
      <w:tr w:rsidR="007335FD">
        <w:trPr>
          <w:trHeight w:val="259"/>
          <w:jc w:val="center"/>
        </w:trPr>
        <w:tc>
          <w:tcPr>
            <w:tcW w:w="747" w:type="dxa"/>
          </w:tcPr>
          <w:p w:rsidR="007335FD" w:rsidRDefault="00815898">
            <w:pPr>
              <w:pStyle w:val="NoSpacing"/>
              <w:jc w:val="center"/>
              <w:rPr>
                <w:sz w:val="24"/>
                <w:szCs w:val="24"/>
              </w:rPr>
            </w:pPr>
            <w:r>
              <w:rPr>
                <w:sz w:val="24"/>
                <w:szCs w:val="24"/>
              </w:rPr>
              <w:t>6</w:t>
            </w:r>
          </w:p>
        </w:tc>
        <w:tc>
          <w:tcPr>
            <w:tcW w:w="2556" w:type="dxa"/>
          </w:tcPr>
          <w:p w:rsidR="007335FD" w:rsidRDefault="00815898">
            <w:pPr>
              <w:pStyle w:val="NoSpacing"/>
              <w:jc w:val="center"/>
              <w:rPr>
                <w:sz w:val="24"/>
                <w:szCs w:val="24"/>
              </w:rPr>
            </w:pPr>
            <w:r>
              <w:rPr>
                <w:sz w:val="24"/>
                <w:szCs w:val="24"/>
              </w:rPr>
              <w:t>STRATA 3</w:t>
            </w:r>
          </w:p>
        </w:tc>
        <w:tc>
          <w:tcPr>
            <w:tcW w:w="1282" w:type="dxa"/>
            <w:vAlign w:val="bottom"/>
          </w:tcPr>
          <w:p w:rsidR="007335FD" w:rsidRDefault="00815898">
            <w:pPr>
              <w:pStyle w:val="NoSpacing"/>
              <w:jc w:val="center"/>
              <w:rPr>
                <w:sz w:val="24"/>
                <w:szCs w:val="24"/>
              </w:rPr>
            </w:pPr>
            <w:r>
              <w:rPr>
                <w:sz w:val="24"/>
                <w:szCs w:val="24"/>
              </w:rPr>
              <w:t>0</w:t>
            </w:r>
          </w:p>
        </w:tc>
        <w:tc>
          <w:tcPr>
            <w:tcW w:w="1978" w:type="dxa"/>
            <w:vAlign w:val="bottom"/>
          </w:tcPr>
          <w:p w:rsidR="007335FD" w:rsidRDefault="00815898">
            <w:pPr>
              <w:pStyle w:val="NoSpacing"/>
              <w:jc w:val="center"/>
              <w:rPr>
                <w:sz w:val="24"/>
                <w:szCs w:val="24"/>
              </w:rPr>
            </w:pPr>
            <w:r>
              <w:rPr>
                <w:sz w:val="24"/>
                <w:szCs w:val="24"/>
              </w:rPr>
              <w:t>0%</w:t>
            </w:r>
          </w:p>
        </w:tc>
      </w:tr>
      <w:tr w:rsidR="007335FD">
        <w:trPr>
          <w:trHeight w:val="439"/>
          <w:jc w:val="center"/>
        </w:trPr>
        <w:tc>
          <w:tcPr>
            <w:tcW w:w="747" w:type="dxa"/>
            <w:vAlign w:val="center"/>
          </w:tcPr>
          <w:p w:rsidR="007335FD" w:rsidRDefault="007335FD">
            <w:pPr>
              <w:pStyle w:val="NoSpacing"/>
              <w:jc w:val="center"/>
              <w:rPr>
                <w:sz w:val="24"/>
                <w:szCs w:val="24"/>
              </w:rPr>
            </w:pPr>
          </w:p>
        </w:tc>
        <w:tc>
          <w:tcPr>
            <w:tcW w:w="2556" w:type="dxa"/>
            <w:vAlign w:val="center"/>
          </w:tcPr>
          <w:p w:rsidR="007335FD" w:rsidRDefault="00815898">
            <w:pPr>
              <w:pStyle w:val="NoSpacing"/>
              <w:jc w:val="center"/>
              <w:rPr>
                <w:sz w:val="24"/>
                <w:szCs w:val="24"/>
              </w:rPr>
            </w:pPr>
            <w:r>
              <w:rPr>
                <w:sz w:val="24"/>
                <w:szCs w:val="24"/>
              </w:rPr>
              <w:t>JUMLAH</w:t>
            </w:r>
          </w:p>
        </w:tc>
        <w:tc>
          <w:tcPr>
            <w:tcW w:w="1282" w:type="dxa"/>
            <w:vAlign w:val="center"/>
          </w:tcPr>
          <w:p w:rsidR="007335FD" w:rsidRDefault="007335FD">
            <w:pPr>
              <w:pStyle w:val="NoSpacing"/>
              <w:jc w:val="center"/>
              <w:rPr>
                <w:sz w:val="24"/>
                <w:szCs w:val="24"/>
              </w:rPr>
            </w:pPr>
          </w:p>
        </w:tc>
        <w:tc>
          <w:tcPr>
            <w:tcW w:w="1978" w:type="dxa"/>
            <w:vAlign w:val="center"/>
          </w:tcPr>
          <w:p w:rsidR="007335FD" w:rsidRDefault="00815898">
            <w:pPr>
              <w:pStyle w:val="NoSpacing"/>
              <w:jc w:val="center"/>
              <w:rPr>
                <w:sz w:val="24"/>
                <w:szCs w:val="24"/>
              </w:rPr>
            </w:pPr>
            <w:r>
              <w:rPr>
                <w:sz w:val="24"/>
                <w:szCs w:val="24"/>
              </w:rPr>
              <w:t>100,00%</w:t>
            </w:r>
          </w:p>
        </w:tc>
      </w:tr>
    </w:tbl>
    <w:p w:rsidR="007335FD" w:rsidRDefault="00815898">
      <w:pPr>
        <w:tabs>
          <w:tab w:val="left" w:pos="1134"/>
        </w:tabs>
        <w:ind w:right="-21"/>
        <w:rPr>
          <w:rFonts w:ascii="Tahoma" w:eastAsia="Calibri" w:hAnsi="Tahoma" w:cs="Tahoma"/>
          <w:bCs/>
          <w:i/>
          <w:sz w:val="20"/>
          <w:szCs w:val="20"/>
        </w:rPr>
      </w:pPr>
      <w:r>
        <w:rPr>
          <w:rFonts w:ascii="Tahoma" w:eastAsia="Calibri" w:hAnsi="Tahoma" w:cs="Tahoma"/>
          <w:bCs/>
          <w:i/>
        </w:rPr>
        <w:tab/>
        <w:t xml:space="preserve"> </w:t>
      </w:r>
      <w:proofErr w:type="gramStart"/>
      <w:r>
        <w:rPr>
          <w:rFonts w:ascii="Tahoma" w:eastAsia="Calibri" w:hAnsi="Tahoma" w:cs="Tahoma"/>
          <w:bCs/>
          <w:i/>
          <w:sz w:val="20"/>
          <w:szCs w:val="20"/>
        </w:rPr>
        <w:t>Sumber :</w:t>
      </w:r>
      <w:proofErr w:type="gramEnd"/>
      <w:r>
        <w:rPr>
          <w:rFonts w:ascii="Tahoma" w:eastAsia="Calibri" w:hAnsi="Tahoma" w:cs="Tahoma"/>
          <w:bCs/>
          <w:i/>
          <w:sz w:val="20"/>
          <w:szCs w:val="20"/>
        </w:rPr>
        <w:t xml:space="preserve"> Subag. </w:t>
      </w:r>
      <w:proofErr w:type="gramStart"/>
      <w:r>
        <w:rPr>
          <w:rFonts w:ascii="Tahoma" w:eastAsia="Calibri" w:hAnsi="Tahoma" w:cs="Tahoma"/>
          <w:bCs/>
          <w:i/>
          <w:sz w:val="20"/>
          <w:szCs w:val="20"/>
        </w:rPr>
        <w:t>Umum dan Kepegawaian Badan Kesbangpol Prop.</w:t>
      </w:r>
      <w:proofErr w:type="gramEnd"/>
      <w:r>
        <w:rPr>
          <w:rFonts w:ascii="Tahoma" w:eastAsia="Calibri" w:hAnsi="Tahoma" w:cs="Tahoma"/>
          <w:bCs/>
          <w:i/>
          <w:sz w:val="20"/>
          <w:szCs w:val="20"/>
        </w:rPr>
        <w:t xml:space="preserve"> </w:t>
      </w:r>
      <w:proofErr w:type="gramStart"/>
      <w:r>
        <w:rPr>
          <w:rFonts w:ascii="Tahoma" w:eastAsia="Calibri" w:hAnsi="Tahoma" w:cs="Tahoma"/>
          <w:bCs/>
          <w:i/>
          <w:sz w:val="20"/>
          <w:szCs w:val="20"/>
        </w:rPr>
        <w:t>Sumbar.</w:t>
      </w:r>
      <w:proofErr w:type="gramEnd"/>
    </w:p>
    <w:p w:rsidR="007335FD" w:rsidRDefault="00815898">
      <w:pPr>
        <w:spacing w:line="360" w:lineRule="auto"/>
        <w:ind w:left="880" w:right="-21" w:firstLine="440"/>
        <w:jc w:val="both"/>
        <w:rPr>
          <w:rFonts w:eastAsia="Calibri" w:hAnsi="Tahoma" w:cs="Tahoma"/>
          <w:bCs/>
          <w:sz w:val="24"/>
          <w:szCs w:val="24"/>
        </w:rPr>
      </w:pPr>
      <w:r>
        <w:rPr>
          <w:rFonts w:eastAsia="Calibri" w:hAnsi="Tahoma" w:cs="Tahoma"/>
          <w:bCs/>
          <w:sz w:val="24"/>
          <w:szCs w:val="24"/>
        </w:rPr>
        <w:t xml:space="preserve">Dilihat dari segi pendidikan, komposisi pegawai Badan Kesbangpol Provinsi Sumatera Barat cukup memadai untuk melaksanakan tugas-tugas Badan Kesbangpol karena lebih dari 62% pegawai sudah berpendidikan sarjana, namun sebanyak 36% adalah tamatan SLTA yang tidak dapat naik pangkat lagi kecuali melalui pendidikan jabatan fungsional atau jabatan struktural. </w:t>
      </w:r>
      <w:proofErr w:type="gramStart"/>
      <w:r>
        <w:rPr>
          <w:rFonts w:eastAsia="Calibri" w:hAnsi="Tahoma" w:cs="Tahoma"/>
          <w:bCs/>
          <w:sz w:val="24"/>
          <w:szCs w:val="24"/>
        </w:rPr>
        <w:t>Sehingga perlu adanya pengarahan pegawai di kelompok lulusan SLTA sederajat dan untuk dikembangkan lebih baik melalui diklat teknis/substantif, diklat gelar maupun diklat fungsional.</w:t>
      </w:r>
      <w:proofErr w:type="gramEnd"/>
      <w:r>
        <w:rPr>
          <w:rFonts w:eastAsia="Calibri" w:hAnsi="Tahoma" w:cs="Tahoma"/>
          <w:bCs/>
          <w:sz w:val="24"/>
          <w:szCs w:val="24"/>
        </w:rPr>
        <w:t xml:space="preserve"> Secara grafik komposisi pegawai berdasarkan tingkat pendidikan dapat dilihat di bawah ini:</w:t>
      </w:r>
    </w:p>
    <w:p w:rsidR="007335FD" w:rsidRDefault="00815898">
      <w:pPr>
        <w:pStyle w:val="NoSpacing"/>
        <w:jc w:val="center"/>
        <w:rPr>
          <w:b/>
          <w:bCs/>
          <w:sz w:val="24"/>
          <w:szCs w:val="24"/>
        </w:rPr>
      </w:pPr>
      <w:proofErr w:type="gramStart"/>
      <w:r>
        <w:rPr>
          <w:b/>
          <w:bCs/>
          <w:sz w:val="24"/>
          <w:szCs w:val="24"/>
        </w:rPr>
        <w:t>Gambar 1.3.</w:t>
      </w:r>
      <w:proofErr w:type="gramEnd"/>
      <w:r>
        <w:rPr>
          <w:b/>
          <w:bCs/>
          <w:sz w:val="24"/>
          <w:szCs w:val="24"/>
        </w:rPr>
        <w:t xml:space="preserve"> Komposisi Pegawai Berdasarkan Tingkat Pendidikan</w:t>
      </w:r>
    </w:p>
    <w:p w:rsidR="007335FD" w:rsidRDefault="00815898">
      <w:pPr>
        <w:pStyle w:val="NoSpacing"/>
        <w:jc w:val="center"/>
        <w:rPr>
          <w:b/>
          <w:bCs/>
          <w:sz w:val="24"/>
          <w:szCs w:val="24"/>
        </w:rPr>
      </w:pPr>
      <w:r>
        <w:rPr>
          <w:b/>
          <w:bCs/>
          <w:sz w:val="24"/>
          <w:szCs w:val="24"/>
        </w:rPr>
        <w:t>Pada Badan Kesbangpol Provinsi Sumatera Barat</w:t>
      </w:r>
    </w:p>
    <w:p w:rsidR="007335FD" w:rsidRDefault="007335FD">
      <w:pPr>
        <w:pStyle w:val="NoSpacing"/>
        <w:jc w:val="center"/>
        <w:rPr>
          <w:b/>
          <w:bCs/>
          <w:sz w:val="24"/>
          <w:szCs w:val="24"/>
        </w:rPr>
      </w:pPr>
    </w:p>
    <w:p w:rsidR="007335FD" w:rsidRDefault="00815898">
      <w:pPr>
        <w:pStyle w:val="NoSpacing"/>
        <w:jc w:val="center"/>
        <w:rPr>
          <w:rFonts w:ascii="Tahoma" w:eastAsia="Calibri" w:hAnsi="Tahoma" w:cs="Tahoma"/>
          <w:bCs/>
        </w:rPr>
      </w:pPr>
      <w:r>
        <w:rPr>
          <w:rFonts w:ascii="Tahoma" w:eastAsia="Calibri" w:hAnsi="Tahoma" w:cs="Tahoma"/>
          <w:bCs/>
          <w:noProof/>
          <w:lang w:bidi="ar-SA"/>
        </w:rPr>
        <w:drawing>
          <wp:inline distT="0" distB="0" distL="114300" distR="114300">
            <wp:extent cx="4495165" cy="2514600"/>
            <wp:effectExtent l="9525" t="9525" r="1651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35FD" w:rsidRDefault="00815898">
      <w:pPr>
        <w:pStyle w:val="NoSpacing"/>
        <w:ind w:firstLineChars="526" w:firstLine="1052"/>
        <w:jc w:val="left"/>
        <w:rPr>
          <w:rFonts w:ascii="Tahoma" w:eastAsia="Calibri" w:hAnsi="Tahoma" w:cs="Tahoma"/>
          <w:bCs/>
        </w:rPr>
      </w:pPr>
      <w:r>
        <w:rPr>
          <w:rFonts w:ascii="Tahoma" w:eastAsia="Calibri" w:hAnsi="Tahoma" w:cs="Tahoma"/>
          <w:bCs/>
        </w:rPr>
        <w:t xml:space="preserve"> </w:t>
      </w:r>
      <w:proofErr w:type="gramStart"/>
      <w:r>
        <w:rPr>
          <w:rFonts w:ascii="Tahoma" w:eastAsia="Calibri" w:hAnsi="Tahoma" w:cs="Tahoma"/>
          <w:bCs/>
          <w:i/>
          <w:sz w:val="18"/>
          <w:szCs w:val="18"/>
        </w:rPr>
        <w:t>Sumber :</w:t>
      </w:r>
      <w:proofErr w:type="gramEnd"/>
      <w:r>
        <w:rPr>
          <w:rFonts w:ascii="Tahoma" w:eastAsia="Calibri" w:hAnsi="Tahoma" w:cs="Tahoma"/>
          <w:bCs/>
          <w:i/>
          <w:sz w:val="18"/>
          <w:szCs w:val="18"/>
        </w:rPr>
        <w:t xml:space="preserve"> Subag Umum dan Kepeg. Badan Kesbangpol Provinsi Sumatera Barat</w:t>
      </w:r>
    </w:p>
    <w:p w:rsidR="007335FD" w:rsidRDefault="007335FD">
      <w:pPr>
        <w:spacing w:line="360" w:lineRule="auto"/>
        <w:ind w:leftChars="300" w:left="660"/>
        <w:jc w:val="both"/>
        <w:rPr>
          <w:rFonts w:eastAsia="Batang" w:cs="Aparajita"/>
          <w:sz w:val="24"/>
          <w:szCs w:val="24"/>
        </w:rPr>
        <w:sectPr w:rsidR="007335FD">
          <w:pgSz w:w="11909" w:h="16834"/>
          <w:pgMar w:top="1440" w:right="1134" w:bottom="1531" w:left="1440" w:header="706"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0"/>
          <w:docGrid w:linePitch="360"/>
        </w:sectPr>
      </w:pPr>
    </w:p>
    <w:p w:rsidR="007335FD" w:rsidRDefault="00815898">
      <w:pPr>
        <w:spacing w:line="360" w:lineRule="auto"/>
        <w:ind w:left="880" w:right="-21" w:firstLine="440"/>
        <w:jc w:val="both"/>
        <w:rPr>
          <w:rFonts w:eastAsia="Calibri" w:hAnsi="Tahoma" w:cs="Tahoma"/>
          <w:bCs/>
          <w:sz w:val="24"/>
          <w:szCs w:val="24"/>
        </w:rPr>
      </w:pPr>
      <w:r>
        <w:rPr>
          <w:rFonts w:eastAsia="Calibri" w:hAnsi="Tahoma" w:cs="Tahoma"/>
          <w:bCs/>
          <w:sz w:val="24"/>
          <w:szCs w:val="24"/>
        </w:rPr>
        <w:lastRenderedPageBreak/>
        <w:t>Selanjutnya komposisi pegawai berdasarkan golongan dapat dilihat pada tabel di bawah:</w:t>
      </w:r>
    </w:p>
    <w:p w:rsidR="007335FD" w:rsidRDefault="00815898">
      <w:pPr>
        <w:pStyle w:val="NoSpacing"/>
        <w:jc w:val="center"/>
        <w:rPr>
          <w:b/>
          <w:bCs/>
          <w:sz w:val="24"/>
          <w:szCs w:val="24"/>
        </w:rPr>
      </w:pPr>
      <w:proofErr w:type="gramStart"/>
      <w:r>
        <w:rPr>
          <w:b/>
          <w:bCs/>
          <w:sz w:val="24"/>
          <w:szCs w:val="24"/>
        </w:rPr>
        <w:t>Tabel 1.2.</w:t>
      </w:r>
      <w:proofErr w:type="gramEnd"/>
      <w:r>
        <w:rPr>
          <w:b/>
          <w:bCs/>
          <w:sz w:val="24"/>
          <w:szCs w:val="24"/>
        </w:rPr>
        <w:t xml:space="preserve"> Daftar Golongan Pegawai Badan Kesbangpol</w:t>
      </w:r>
    </w:p>
    <w:p w:rsidR="007335FD" w:rsidRDefault="00815898">
      <w:pPr>
        <w:pStyle w:val="NoSpacing"/>
        <w:jc w:val="center"/>
        <w:rPr>
          <w:b/>
          <w:bCs/>
          <w:sz w:val="24"/>
          <w:szCs w:val="24"/>
        </w:rPr>
      </w:pPr>
      <w:r>
        <w:rPr>
          <w:b/>
          <w:bCs/>
          <w:sz w:val="24"/>
          <w:szCs w:val="24"/>
        </w:rPr>
        <w:t xml:space="preserve">    Provinsi Sumatera Barat Tahun 2018</w:t>
      </w:r>
    </w:p>
    <w:p w:rsidR="007335FD" w:rsidRDefault="007335FD">
      <w:pPr>
        <w:pStyle w:val="NoSpacing"/>
        <w:jc w:val="center"/>
        <w:rPr>
          <w:b/>
          <w:bCs/>
          <w:sz w:val="24"/>
          <w:szCs w:val="24"/>
        </w:rPr>
      </w:pPr>
    </w:p>
    <w:tbl>
      <w:tblPr>
        <w:tblW w:w="6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821"/>
        <w:gridCol w:w="1872"/>
        <w:gridCol w:w="1775"/>
      </w:tblGrid>
      <w:tr w:rsidR="007335FD">
        <w:trPr>
          <w:trHeight w:val="498"/>
          <w:jc w:val="center"/>
        </w:trPr>
        <w:tc>
          <w:tcPr>
            <w:tcW w:w="704" w:type="dxa"/>
            <w:shd w:val="clear" w:color="auto" w:fill="C00000"/>
            <w:vAlign w:val="center"/>
          </w:tcPr>
          <w:p w:rsidR="007335FD" w:rsidRDefault="00815898">
            <w:pPr>
              <w:pStyle w:val="NoSpacing"/>
              <w:jc w:val="center"/>
              <w:rPr>
                <w:b/>
                <w:bCs/>
                <w:sz w:val="24"/>
                <w:szCs w:val="24"/>
              </w:rPr>
            </w:pPr>
            <w:r>
              <w:rPr>
                <w:b/>
                <w:bCs/>
                <w:sz w:val="24"/>
                <w:szCs w:val="24"/>
              </w:rPr>
              <w:t>No.</w:t>
            </w:r>
          </w:p>
        </w:tc>
        <w:tc>
          <w:tcPr>
            <w:tcW w:w="1821" w:type="dxa"/>
            <w:shd w:val="clear" w:color="auto" w:fill="C00000"/>
            <w:vAlign w:val="center"/>
          </w:tcPr>
          <w:p w:rsidR="007335FD" w:rsidRDefault="00815898">
            <w:pPr>
              <w:pStyle w:val="NoSpacing"/>
              <w:jc w:val="center"/>
              <w:rPr>
                <w:b/>
                <w:bCs/>
                <w:sz w:val="24"/>
                <w:szCs w:val="24"/>
              </w:rPr>
            </w:pPr>
            <w:r>
              <w:rPr>
                <w:b/>
                <w:bCs/>
                <w:sz w:val="24"/>
                <w:szCs w:val="24"/>
              </w:rPr>
              <w:t>Golongan</w:t>
            </w:r>
          </w:p>
        </w:tc>
        <w:tc>
          <w:tcPr>
            <w:tcW w:w="1872" w:type="dxa"/>
            <w:shd w:val="clear" w:color="auto" w:fill="C00000"/>
            <w:vAlign w:val="center"/>
          </w:tcPr>
          <w:p w:rsidR="007335FD" w:rsidRDefault="00815898">
            <w:pPr>
              <w:pStyle w:val="NoSpacing"/>
              <w:jc w:val="center"/>
              <w:rPr>
                <w:b/>
                <w:bCs/>
                <w:sz w:val="24"/>
                <w:szCs w:val="24"/>
              </w:rPr>
            </w:pPr>
            <w:r>
              <w:rPr>
                <w:b/>
                <w:bCs/>
                <w:sz w:val="24"/>
                <w:szCs w:val="24"/>
              </w:rPr>
              <w:t>Jumlah</w:t>
            </w:r>
          </w:p>
        </w:tc>
        <w:tc>
          <w:tcPr>
            <w:tcW w:w="1775" w:type="dxa"/>
            <w:shd w:val="clear" w:color="auto" w:fill="C00000"/>
            <w:vAlign w:val="center"/>
          </w:tcPr>
          <w:p w:rsidR="007335FD" w:rsidRDefault="00815898">
            <w:pPr>
              <w:pStyle w:val="NoSpacing"/>
              <w:jc w:val="center"/>
              <w:rPr>
                <w:b/>
                <w:bCs/>
                <w:sz w:val="24"/>
                <w:szCs w:val="24"/>
              </w:rPr>
            </w:pPr>
            <w:r>
              <w:rPr>
                <w:b/>
                <w:bCs/>
                <w:sz w:val="24"/>
                <w:szCs w:val="24"/>
              </w:rPr>
              <w:t>Persentase</w:t>
            </w:r>
          </w:p>
        </w:tc>
      </w:tr>
      <w:tr w:rsidR="007335FD">
        <w:trPr>
          <w:jc w:val="center"/>
        </w:trPr>
        <w:tc>
          <w:tcPr>
            <w:tcW w:w="704" w:type="dxa"/>
          </w:tcPr>
          <w:p w:rsidR="007335FD" w:rsidRDefault="00815898">
            <w:pPr>
              <w:pStyle w:val="NoSpacing"/>
              <w:jc w:val="center"/>
              <w:rPr>
                <w:sz w:val="24"/>
                <w:szCs w:val="24"/>
              </w:rPr>
            </w:pPr>
            <w:r>
              <w:rPr>
                <w:sz w:val="24"/>
                <w:szCs w:val="24"/>
              </w:rPr>
              <w:t>1</w:t>
            </w:r>
          </w:p>
        </w:tc>
        <w:tc>
          <w:tcPr>
            <w:tcW w:w="1821" w:type="dxa"/>
          </w:tcPr>
          <w:p w:rsidR="007335FD" w:rsidRDefault="00815898">
            <w:pPr>
              <w:pStyle w:val="NoSpacing"/>
              <w:jc w:val="left"/>
              <w:rPr>
                <w:sz w:val="24"/>
                <w:szCs w:val="24"/>
              </w:rPr>
            </w:pPr>
            <w:r>
              <w:rPr>
                <w:sz w:val="24"/>
                <w:szCs w:val="24"/>
              </w:rPr>
              <w:t>Golongan I</w:t>
            </w:r>
          </w:p>
        </w:tc>
        <w:tc>
          <w:tcPr>
            <w:tcW w:w="1872" w:type="dxa"/>
          </w:tcPr>
          <w:p w:rsidR="007335FD" w:rsidRDefault="00815898">
            <w:pPr>
              <w:pStyle w:val="NoSpacing"/>
              <w:jc w:val="center"/>
              <w:rPr>
                <w:sz w:val="24"/>
                <w:szCs w:val="24"/>
              </w:rPr>
            </w:pPr>
            <w:r>
              <w:rPr>
                <w:sz w:val="24"/>
                <w:szCs w:val="24"/>
              </w:rPr>
              <w:t>0</w:t>
            </w:r>
          </w:p>
        </w:tc>
        <w:tc>
          <w:tcPr>
            <w:tcW w:w="1775" w:type="dxa"/>
          </w:tcPr>
          <w:p w:rsidR="007335FD" w:rsidRDefault="00815898">
            <w:pPr>
              <w:pStyle w:val="NoSpacing"/>
              <w:jc w:val="center"/>
              <w:rPr>
                <w:sz w:val="24"/>
                <w:szCs w:val="24"/>
              </w:rPr>
            </w:pPr>
            <w:r>
              <w:rPr>
                <w:sz w:val="24"/>
                <w:szCs w:val="24"/>
              </w:rPr>
              <w:t>0%</w:t>
            </w:r>
          </w:p>
        </w:tc>
      </w:tr>
      <w:tr w:rsidR="007335FD">
        <w:trPr>
          <w:trHeight w:val="292"/>
          <w:jc w:val="center"/>
        </w:trPr>
        <w:tc>
          <w:tcPr>
            <w:tcW w:w="704" w:type="dxa"/>
          </w:tcPr>
          <w:p w:rsidR="007335FD" w:rsidRDefault="00815898">
            <w:pPr>
              <w:pStyle w:val="NoSpacing"/>
              <w:jc w:val="center"/>
              <w:rPr>
                <w:sz w:val="24"/>
                <w:szCs w:val="24"/>
              </w:rPr>
            </w:pPr>
            <w:r>
              <w:rPr>
                <w:sz w:val="24"/>
                <w:szCs w:val="24"/>
              </w:rPr>
              <w:t>2</w:t>
            </w:r>
          </w:p>
        </w:tc>
        <w:tc>
          <w:tcPr>
            <w:tcW w:w="1821" w:type="dxa"/>
          </w:tcPr>
          <w:p w:rsidR="007335FD" w:rsidRDefault="00815898">
            <w:pPr>
              <w:pStyle w:val="NoSpacing"/>
              <w:jc w:val="left"/>
              <w:rPr>
                <w:sz w:val="24"/>
                <w:szCs w:val="24"/>
              </w:rPr>
            </w:pPr>
            <w:r>
              <w:rPr>
                <w:sz w:val="24"/>
                <w:szCs w:val="24"/>
              </w:rPr>
              <w:t>Golongan II</w:t>
            </w:r>
          </w:p>
        </w:tc>
        <w:tc>
          <w:tcPr>
            <w:tcW w:w="1872" w:type="dxa"/>
          </w:tcPr>
          <w:p w:rsidR="007335FD" w:rsidRDefault="00815898">
            <w:pPr>
              <w:pStyle w:val="NoSpacing"/>
              <w:jc w:val="center"/>
              <w:rPr>
                <w:sz w:val="24"/>
                <w:szCs w:val="24"/>
              </w:rPr>
            </w:pPr>
            <w:r>
              <w:rPr>
                <w:sz w:val="24"/>
                <w:szCs w:val="24"/>
              </w:rPr>
              <w:t>6</w:t>
            </w:r>
          </w:p>
        </w:tc>
        <w:tc>
          <w:tcPr>
            <w:tcW w:w="1775" w:type="dxa"/>
            <w:vAlign w:val="bottom"/>
          </w:tcPr>
          <w:p w:rsidR="007335FD" w:rsidRDefault="00815898">
            <w:pPr>
              <w:pStyle w:val="NoSpacing"/>
              <w:jc w:val="center"/>
              <w:rPr>
                <w:sz w:val="24"/>
                <w:szCs w:val="24"/>
              </w:rPr>
            </w:pPr>
            <w:r>
              <w:rPr>
                <w:sz w:val="24"/>
                <w:szCs w:val="24"/>
              </w:rPr>
              <w:t>13%</w:t>
            </w:r>
          </w:p>
        </w:tc>
      </w:tr>
      <w:tr w:rsidR="007335FD">
        <w:trPr>
          <w:jc w:val="center"/>
        </w:trPr>
        <w:tc>
          <w:tcPr>
            <w:tcW w:w="704" w:type="dxa"/>
          </w:tcPr>
          <w:p w:rsidR="007335FD" w:rsidRDefault="00815898">
            <w:pPr>
              <w:pStyle w:val="NoSpacing"/>
              <w:jc w:val="center"/>
              <w:rPr>
                <w:sz w:val="24"/>
                <w:szCs w:val="24"/>
              </w:rPr>
            </w:pPr>
            <w:r>
              <w:rPr>
                <w:sz w:val="24"/>
                <w:szCs w:val="24"/>
              </w:rPr>
              <w:t>3</w:t>
            </w:r>
          </w:p>
        </w:tc>
        <w:tc>
          <w:tcPr>
            <w:tcW w:w="1821" w:type="dxa"/>
          </w:tcPr>
          <w:p w:rsidR="007335FD" w:rsidRDefault="00815898">
            <w:pPr>
              <w:pStyle w:val="NoSpacing"/>
              <w:jc w:val="left"/>
              <w:rPr>
                <w:sz w:val="24"/>
                <w:szCs w:val="24"/>
              </w:rPr>
            </w:pPr>
            <w:r>
              <w:rPr>
                <w:sz w:val="24"/>
                <w:szCs w:val="24"/>
              </w:rPr>
              <w:t>Golongan III</w:t>
            </w:r>
          </w:p>
        </w:tc>
        <w:tc>
          <w:tcPr>
            <w:tcW w:w="1872" w:type="dxa"/>
          </w:tcPr>
          <w:p w:rsidR="007335FD" w:rsidRDefault="00815898">
            <w:pPr>
              <w:pStyle w:val="NoSpacing"/>
              <w:jc w:val="center"/>
              <w:rPr>
                <w:sz w:val="24"/>
                <w:szCs w:val="24"/>
              </w:rPr>
            </w:pPr>
            <w:r>
              <w:rPr>
                <w:sz w:val="24"/>
                <w:szCs w:val="24"/>
              </w:rPr>
              <w:t>30</w:t>
            </w:r>
          </w:p>
        </w:tc>
        <w:tc>
          <w:tcPr>
            <w:tcW w:w="1775" w:type="dxa"/>
            <w:vAlign w:val="bottom"/>
          </w:tcPr>
          <w:p w:rsidR="007335FD" w:rsidRDefault="00815898">
            <w:pPr>
              <w:pStyle w:val="NoSpacing"/>
              <w:jc w:val="center"/>
              <w:rPr>
                <w:sz w:val="24"/>
                <w:szCs w:val="24"/>
              </w:rPr>
            </w:pPr>
            <w:r>
              <w:rPr>
                <w:sz w:val="24"/>
                <w:szCs w:val="24"/>
              </w:rPr>
              <w:t>67%</w:t>
            </w:r>
          </w:p>
        </w:tc>
      </w:tr>
      <w:tr w:rsidR="007335FD">
        <w:trPr>
          <w:jc w:val="center"/>
        </w:trPr>
        <w:tc>
          <w:tcPr>
            <w:tcW w:w="704" w:type="dxa"/>
          </w:tcPr>
          <w:p w:rsidR="007335FD" w:rsidRDefault="00815898">
            <w:pPr>
              <w:pStyle w:val="NoSpacing"/>
              <w:jc w:val="center"/>
              <w:rPr>
                <w:sz w:val="24"/>
                <w:szCs w:val="24"/>
              </w:rPr>
            </w:pPr>
            <w:r>
              <w:rPr>
                <w:sz w:val="24"/>
                <w:szCs w:val="24"/>
              </w:rPr>
              <w:t>4</w:t>
            </w:r>
          </w:p>
        </w:tc>
        <w:tc>
          <w:tcPr>
            <w:tcW w:w="1821" w:type="dxa"/>
          </w:tcPr>
          <w:p w:rsidR="007335FD" w:rsidRDefault="00815898">
            <w:pPr>
              <w:pStyle w:val="NoSpacing"/>
              <w:jc w:val="left"/>
              <w:rPr>
                <w:sz w:val="24"/>
                <w:szCs w:val="24"/>
              </w:rPr>
            </w:pPr>
            <w:r>
              <w:rPr>
                <w:sz w:val="24"/>
                <w:szCs w:val="24"/>
              </w:rPr>
              <w:t>Golongan IV</w:t>
            </w:r>
          </w:p>
        </w:tc>
        <w:tc>
          <w:tcPr>
            <w:tcW w:w="1872" w:type="dxa"/>
          </w:tcPr>
          <w:p w:rsidR="007335FD" w:rsidRDefault="00815898">
            <w:pPr>
              <w:pStyle w:val="NoSpacing"/>
              <w:jc w:val="center"/>
              <w:rPr>
                <w:sz w:val="24"/>
                <w:szCs w:val="24"/>
              </w:rPr>
            </w:pPr>
            <w:r>
              <w:rPr>
                <w:sz w:val="24"/>
                <w:szCs w:val="24"/>
              </w:rPr>
              <w:t>9</w:t>
            </w:r>
          </w:p>
        </w:tc>
        <w:tc>
          <w:tcPr>
            <w:tcW w:w="1775" w:type="dxa"/>
            <w:vAlign w:val="bottom"/>
          </w:tcPr>
          <w:p w:rsidR="007335FD" w:rsidRDefault="00815898">
            <w:pPr>
              <w:pStyle w:val="NoSpacing"/>
              <w:jc w:val="center"/>
              <w:rPr>
                <w:sz w:val="24"/>
                <w:szCs w:val="24"/>
              </w:rPr>
            </w:pPr>
            <w:r>
              <w:rPr>
                <w:sz w:val="24"/>
                <w:szCs w:val="24"/>
              </w:rPr>
              <w:t>20%</w:t>
            </w:r>
          </w:p>
        </w:tc>
      </w:tr>
      <w:tr w:rsidR="007335FD">
        <w:trPr>
          <w:trHeight w:val="409"/>
          <w:jc w:val="center"/>
        </w:trPr>
        <w:tc>
          <w:tcPr>
            <w:tcW w:w="704" w:type="dxa"/>
            <w:vAlign w:val="center"/>
          </w:tcPr>
          <w:p w:rsidR="007335FD" w:rsidRDefault="007335FD">
            <w:pPr>
              <w:pStyle w:val="NoSpacing"/>
              <w:jc w:val="center"/>
              <w:rPr>
                <w:sz w:val="24"/>
                <w:szCs w:val="24"/>
              </w:rPr>
            </w:pPr>
          </w:p>
        </w:tc>
        <w:tc>
          <w:tcPr>
            <w:tcW w:w="1821" w:type="dxa"/>
            <w:vAlign w:val="center"/>
          </w:tcPr>
          <w:p w:rsidR="007335FD" w:rsidRDefault="00815898">
            <w:pPr>
              <w:pStyle w:val="NoSpacing"/>
              <w:jc w:val="center"/>
              <w:rPr>
                <w:b/>
                <w:bCs/>
                <w:sz w:val="24"/>
                <w:szCs w:val="24"/>
              </w:rPr>
            </w:pPr>
            <w:r>
              <w:rPr>
                <w:b/>
                <w:bCs/>
                <w:sz w:val="24"/>
                <w:szCs w:val="24"/>
              </w:rPr>
              <w:t>JUMLAH</w:t>
            </w:r>
          </w:p>
        </w:tc>
        <w:tc>
          <w:tcPr>
            <w:tcW w:w="1872" w:type="dxa"/>
            <w:vAlign w:val="center"/>
          </w:tcPr>
          <w:p w:rsidR="007335FD" w:rsidRDefault="00815898">
            <w:pPr>
              <w:pStyle w:val="NoSpacing"/>
              <w:jc w:val="center"/>
              <w:rPr>
                <w:b/>
                <w:bCs/>
                <w:sz w:val="24"/>
                <w:szCs w:val="24"/>
              </w:rPr>
            </w:pPr>
            <w:r>
              <w:rPr>
                <w:b/>
                <w:bCs/>
                <w:sz w:val="24"/>
                <w:szCs w:val="24"/>
              </w:rPr>
              <w:t>45</w:t>
            </w:r>
          </w:p>
        </w:tc>
        <w:tc>
          <w:tcPr>
            <w:tcW w:w="1775" w:type="dxa"/>
            <w:vAlign w:val="center"/>
          </w:tcPr>
          <w:p w:rsidR="007335FD" w:rsidRDefault="00815898">
            <w:pPr>
              <w:pStyle w:val="NoSpacing"/>
              <w:jc w:val="center"/>
              <w:rPr>
                <w:b/>
                <w:bCs/>
                <w:sz w:val="24"/>
                <w:szCs w:val="24"/>
              </w:rPr>
            </w:pPr>
            <w:r>
              <w:rPr>
                <w:b/>
                <w:bCs/>
                <w:sz w:val="24"/>
                <w:szCs w:val="24"/>
              </w:rPr>
              <w:t>100%</w:t>
            </w:r>
          </w:p>
        </w:tc>
      </w:tr>
    </w:tbl>
    <w:p w:rsidR="007335FD" w:rsidRDefault="007335FD">
      <w:pPr>
        <w:ind w:left="720" w:right="-21" w:firstLine="720"/>
        <w:jc w:val="center"/>
        <w:rPr>
          <w:rFonts w:ascii="Tahoma" w:eastAsia="Calibri" w:hAnsi="Tahoma" w:cs="Tahoma"/>
          <w:bCs/>
          <w:i/>
          <w:sz w:val="10"/>
          <w:szCs w:val="10"/>
        </w:rPr>
      </w:pPr>
    </w:p>
    <w:p w:rsidR="007335FD" w:rsidRDefault="00815898">
      <w:pPr>
        <w:ind w:right="-21" w:firstLine="720"/>
        <w:rPr>
          <w:rFonts w:ascii="Tahoma" w:eastAsia="Calibri" w:hAnsi="Tahoma" w:cs="Tahoma"/>
          <w:bCs/>
          <w:i/>
          <w:sz w:val="20"/>
          <w:szCs w:val="20"/>
        </w:rPr>
      </w:pPr>
      <w:r>
        <w:rPr>
          <w:rFonts w:ascii="Tahoma" w:eastAsia="Calibri" w:hAnsi="Tahoma" w:cs="Tahoma"/>
          <w:bCs/>
          <w:i/>
          <w:sz w:val="20"/>
          <w:szCs w:val="20"/>
        </w:rPr>
        <w:t xml:space="preserve">         </w:t>
      </w:r>
      <w:proofErr w:type="gramStart"/>
      <w:r>
        <w:rPr>
          <w:rFonts w:ascii="Tahoma" w:eastAsia="Calibri" w:hAnsi="Tahoma" w:cs="Tahoma"/>
          <w:bCs/>
          <w:i/>
          <w:sz w:val="20"/>
          <w:szCs w:val="20"/>
        </w:rPr>
        <w:t>Sumber :</w:t>
      </w:r>
      <w:proofErr w:type="gramEnd"/>
      <w:r>
        <w:rPr>
          <w:rFonts w:ascii="Tahoma" w:eastAsia="Calibri" w:hAnsi="Tahoma" w:cs="Tahoma"/>
          <w:bCs/>
          <w:i/>
          <w:sz w:val="20"/>
          <w:szCs w:val="20"/>
        </w:rPr>
        <w:t xml:space="preserve"> Subag. </w:t>
      </w:r>
      <w:proofErr w:type="gramStart"/>
      <w:r>
        <w:rPr>
          <w:rFonts w:ascii="Tahoma" w:eastAsia="Calibri" w:hAnsi="Tahoma" w:cs="Tahoma"/>
          <w:bCs/>
          <w:i/>
          <w:sz w:val="20"/>
          <w:szCs w:val="20"/>
        </w:rPr>
        <w:t>Umum dan Kepegawaian Badan Kesbangpol Prop.</w:t>
      </w:r>
      <w:proofErr w:type="gramEnd"/>
      <w:r>
        <w:rPr>
          <w:rFonts w:ascii="Tahoma" w:eastAsia="Calibri" w:hAnsi="Tahoma" w:cs="Tahoma"/>
          <w:bCs/>
          <w:i/>
          <w:sz w:val="20"/>
          <w:szCs w:val="20"/>
        </w:rPr>
        <w:t xml:space="preserve"> </w:t>
      </w:r>
      <w:proofErr w:type="gramStart"/>
      <w:r>
        <w:rPr>
          <w:rFonts w:ascii="Tahoma" w:eastAsia="Calibri" w:hAnsi="Tahoma" w:cs="Tahoma"/>
          <w:bCs/>
          <w:i/>
          <w:sz w:val="20"/>
          <w:szCs w:val="20"/>
        </w:rPr>
        <w:t>Sumbar.</w:t>
      </w:r>
      <w:proofErr w:type="gramEnd"/>
    </w:p>
    <w:p w:rsidR="007335FD" w:rsidRDefault="00815898">
      <w:pPr>
        <w:pStyle w:val="ListParagraph"/>
        <w:spacing w:line="360" w:lineRule="auto"/>
        <w:ind w:left="910" w:right="-21" w:firstLineChars="170" w:firstLine="408"/>
        <w:jc w:val="both"/>
        <w:rPr>
          <w:rFonts w:eastAsia="Calibri" w:hAnsi="Tahoma" w:cs="Tahoma"/>
          <w:bCs/>
          <w:sz w:val="24"/>
          <w:szCs w:val="24"/>
        </w:rPr>
      </w:pPr>
      <w:proofErr w:type="gramStart"/>
      <w:r>
        <w:rPr>
          <w:rFonts w:eastAsia="Calibri" w:hAnsi="Tahoma" w:cs="Tahoma"/>
          <w:bCs/>
          <w:sz w:val="24"/>
          <w:szCs w:val="24"/>
        </w:rPr>
        <w:t>Sebagaimana diuraikan pada tabel di atas, tercatat 67% pegawai Badan Kesbangpol adalah golongan III.</w:t>
      </w:r>
      <w:proofErr w:type="gramEnd"/>
      <w:r>
        <w:rPr>
          <w:rFonts w:eastAsia="Calibri" w:hAnsi="Tahoma" w:cs="Tahoma"/>
          <w:bCs/>
          <w:sz w:val="24"/>
          <w:szCs w:val="24"/>
        </w:rPr>
        <w:t xml:space="preserve"> </w:t>
      </w:r>
      <w:proofErr w:type="gramStart"/>
      <w:r>
        <w:rPr>
          <w:rFonts w:eastAsia="Calibri" w:hAnsi="Tahoma" w:cs="Tahoma"/>
          <w:bCs/>
          <w:sz w:val="24"/>
          <w:szCs w:val="24"/>
        </w:rPr>
        <w:t>Apabila dibandingkan dengan komposisi kualifikasi pendidikan pegawai, maka sebagian besar pegawai yang berpendidikan SLTA telah memasuki golongan III yang berarti telah memiliki masa kerja lebih dari 20 tahun.</w:t>
      </w:r>
      <w:proofErr w:type="gramEnd"/>
      <w:r>
        <w:rPr>
          <w:rFonts w:eastAsia="Calibri" w:hAnsi="Tahoma" w:cs="Tahoma"/>
          <w:bCs/>
          <w:sz w:val="24"/>
          <w:szCs w:val="24"/>
        </w:rPr>
        <w:t xml:space="preserve"> Berikut jumlah PNS Badan Kesbangpol per golongan:</w:t>
      </w:r>
    </w:p>
    <w:p w:rsidR="007335FD" w:rsidRDefault="00815898">
      <w:pPr>
        <w:pStyle w:val="NoSpacing"/>
        <w:ind w:leftChars="400" w:left="880"/>
        <w:jc w:val="center"/>
        <w:rPr>
          <w:b/>
          <w:bCs/>
          <w:sz w:val="24"/>
          <w:szCs w:val="24"/>
        </w:rPr>
      </w:pPr>
      <w:r>
        <w:rPr>
          <w:b/>
          <w:bCs/>
          <w:sz w:val="24"/>
          <w:szCs w:val="24"/>
        </w:rPr>
        <w:t xml:space="preserve"> </w:t>
      </w:r>
      <w:proofErr w:type="gramStart"/>
      <w:r>
        <w:rPr>
          <w:b/>
          <w:bCs/>
          <w:sz w:val="24"/>
          <w:szCs w:val="24"/>
        </w:rPr>
        <w:t>Gambar 1.4.</w:t>
      </w:r>
      <w:proofErr w:type="gramEnd"/>
      <w:r>
        <w:rPr>
          <w:b/>
          <w:bCs/>
          <w:sz w:val="24"/>
          <w:szCs w:val="24"/>
        </w:rPr>
        <w:t xml:space="preserve"> Komposisi Pegawai Berdasarkan Golongan</w:t>
      </w:r>
    </w:p>
    <w:p w:rsidR="007335FD" w:rsidRDefault="00815898">
      <w:pPr>
        <w:pStyle w:val="NoSpacing"/>
        <w:ind w:leftChars="400" w:left="882" w:hanging="2"/>
        <w:jc w:val="center"/>
        <w:rPr>
          <w:b/>
          <w:bCs/>
          <w:sz w:val="24"/>
          <w:szCs w:val="24"/>
        </w:rPr>
      </w:pPr>
      <w:r>
        <w:rPr>
          <w:b/>
          <w:bCs/>
          <w:sz w:val="24"/>
          <w:szCs w:val="24"/>
        </w:rPr>
        <w:t>Pada Badan Kesbangpol Provinsi Sumatera Barat</w:t>
      </w:r>
    </w:p>
    <w:p w:rsidR="007335FD" w:rsidRDefault="007335FD">
      <w:pPr>
        <w:pStyle w:val="NoSpacing"/>
        <w:ind w:leftChars="400" w:left="882" w:hanging="2"/>
        <w:jc w:val="center"/>
        <w:rPr>
          <w:b/>
          <w:bCs/>
          <w:sz w:val="24"/>
          <w:szCs w:val="24"/>
        </w:rPr>
      </w:pPr>
    </w:p>
    <w:p w:rsidR="007335FD" w:rsidRDefault="00815898">
      <w:pPr>
        <w:spacing w:line="360" w:lineRule="auto"/>
        <w:ind w:left="720" w:right="-21" w:firstLine="360"/>
        <w:jc w:val="center"/>
        <w:rPr>
          <w:rFonts w:ascii="Tahoma" w:eastAsia="Calibri" w:hAnsi="Tahoma" w:cs="Tahoma"/>
          <w:bCs/>
        </w:rPr>
      </w:pPr>
      <w:r>
        <w:rPr>
          <w:rFonts w:ascii="Tahoma" w:eastAsia="Calibri" w:hAnsi="Tahoma" w:cs="Tahoma"/>
          <w:bCs/>
          <w:noProof/>
        </w:rPr>
        <w:drawing>
          <wp:inline distT="0" distB="0" distL="114300" distR="114300">
            <wp:extent cx="4309745" cy="2766695"/>
            <wp:effectExtent l="12700" t="12700" r="2095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35FD" w:rsidRDefault="00815898">
      <w:pPr>
        <w:ind w:right="-21" w:firstLineChars="876" w:firstLine="1752"/>
        <w:rPr>
          <w:rFonts w:ascii="Tahoma" w:eastAsia="Calibri" w:hAnsi="Tahoma" w:cs="Tahoma"/>
          <w:bCs/>
          <w:i/>
          <w:sz w:val="20"/>
          <w:szCs w:val="20"/>
        </w:rPr>
      </w:pPr>
      <w:proofErr w:type="gramStart"/>
      <w:r>
        <w:rPr>
          <w:rFonts w:ascii="Tahoma" w:eastAsia="Calibri" w:hAnsi="Tahoma" w:cs="Tahoma"/>
          <w:bCs/>
          <w:i/>
          <w:sz w:val="20"/>
          <w:szCs w:val="20"/>
        </w:rPr>
        <w:t>Sumber :</w:t>
      </w:r>
      <w:proofErr w:type="gramEnd"/>
      <w:r>
        <w:rPr>
          <w:rFonts w:ascii="Tahoma" w:eastAsia="Calibri" w:hAnsi="Tahoma" w:cs="Tahoma"/>
          <w:bCs/>
          <w:i/>
          <w:sz w:val="20"/>
          <w:szCs w:val="20"/>
        </w:rPr>
        <w:t xml:space="preserve"> Subag. </w:t>
      </w:r>
      <w:proofErr w:type="gramStart"/>
      <w:r>
        <w:rPr>
          <w:rFonts w:ascii="Tahoma" w:eastAsia="Calibri" w:hAnsi="Tahoma" w:cs="Tahoma"/>
          <w:bCs/>
          <w:i/>
          <w:sz w:val="20"/>
          <w:szCs w:val="20"/>
        </w:rPr>
        <w:t>Umum dan Kepegawaian Badan Kesbangpol Prop.</w:t>
      </w:r>
      <w:proofErr w:type="gramEnd"/>
      <w:r>
        <w:rPr>
          <w:rFonts w:ascii="Tahoma" w:eastAsia="Calibri" w:hAnsi="Tahoma" w:cs="Tahoma"/>
          <w:bCs/>
          <w:i/>
          <w:sz w:val="20"/>
          <w:szCs w:val="20"/>
        </w:rPr>
        <w:t xml:space="preserve"> </w:t>
      </w:r>
      <w:proofErr w:type="gramStart"/>
      <w:r>
        <w:rPr>
          <w:rFonts w:ascii="Tahoma" w:eastAsia="Calibri" w:hAnsi="Tahoma" w:cs="Tahoma"/>
          <w:bCs/>
          <w:i/>
          <w:sz w:val="20"/>
          <w:szCs w:val="20"/>
        </w:rPr>
        <w:t>Sumbar.</w:t>
      </w:r>
      <w:proofErr w:type="gramEnd"/>
    </w:p>
    <w:p w:rsidR="007335FD" w:rsidRDefault="007335FD">
      <w:pPr>
        <w:ind w:right="-21" w:firstLineChars="876" w:firstLine="1752"/>
        <w:rPr>
          <w:rFonts w:ascii="Tahoma" w:eastAsia="Calibri" w:hAnsi="Tahoma" w:cs="Tahoma"/>
          <w:bCs/>
          <w:i/>
          <w:sz w:val="20"/>
          <w:szCs w:val="20"/>
        </w:rPr>
      </w:pPr>
    </w:p>
    <w:p w:rsidR="007335FD" w:rsidRDefault="00815898">
      <w:pPr>
        <w:spacing w:line="360" w:lineRule="auto"/>
        <w:ind w:left="880" w:right="-21" w:firstLine="440"/>
        <w:jc w:val="both"/>
        <w:rPr>
          <w:rFonts w:eastAsia="Calibri" w:hAnsi="Tahoma" w:cs="Tahoma"/>
          <w:bCs/>
          <w:sz w:val="24"/>
          <w:szCs w:val="24"/>
        </w:rPr>
      </w:pPr>
      <w:r>
        <w:rPr>
          <w:rFonts w:eastAsia="Calibri" w:hAnsi="Tahoma" w:cs="Tahoma"/>
          <w:bCs/>
          <w:sz w:val="24"/>
          <w:szCs w:val="24"/>
        </w:rPr>
        <w:lastRenderedPageBreak/>
        <w:t>Komposisi pegawai pada masing-masing bidang dapat dilihat pada tabel di bawah:</w:t>
      </w:r>
    </w:p>
    <w:p w:rsidR="007335FD" w:rsidRDefault="00815898">
      <w:pPr>
        <w:pStyle w:val="NoSpacing"/>
        <w:jc w:val="center"/>
        <w:rPr>
          <w:b/>
          <w:bCs/>
          <w:sz w:val="24"/>
          <w:szCs w:val="24"/>
        </w:rPr>
      </w:pPr>
      <w:proofErr w:type="gramStart"/>
      <w:r>
        <w:rPr>
          <w:b/>
          <w:bCs/>
          <w:sz w:val="24"/>
          <w:szCs w:val="24"/>
        </w:rPr>
        <w:t>Tabel 1.3.</w:t>
      </w:r>
      <w:proofErr w:type="gramEnd"/>
      <w:r>
        <w:rPr>
          <w:b/>
          <w:bCs/>
          <w:sz w:val="24"/>
          <w:szCs w:val="24"/>
        </w:rPr>
        <w:t xml:space="preserve"> Daftar Pegawai </w:t>
      </w:r>
      <w:proofErr w:type="gramStart"/>
      <w:r>
        <w:rPr>
          <w:b/>
          <w:bCs/>
          <w:sz w:val="24"/>
          <w:szCs w:val="24"/>
        </w:rPr>
        <w:t>Per</w:t>
      </w:r>
      <w:proofErr w:type="gramEnd"/>
      <w:r>
        <w:rPr>
          <w:b/>
          <w:bCs/>
          <w:sz w:val="24"/>
          <w:szCs w:val="24"/>
        </w:rPr>
        <w:t xml:space="preserve"> Bidang pada Badan Kesbangpol</w:t>
      </w:r>
    </w:p>
    <w:p w:rsidR="007335FD" w:rsidRDefault="00815898">
      <w:pPr>
        <w:pStyle w:val="NoSpacing"/>
        <w:jc w:val="center"/>
        <w:rPr>
          <w:b/>
          <w:bCs/>
          <w:sz w:val="24"/>
          <w:szCs w:val="24"/>
        </w:rPr>
      </w:pPr>
      <w:r>
        <w:rPr>
          <w:b/>
          <w:bCs/>
          <w:sz w:val="24"/>
          <w:szCs w:val="24"/>
        </w:rPr>
        <w:t xml:space="preserve">    Provinsi Sumatera Barat Tahun 2018</w:t>
      </w:r>
    </w:p>
    <w:tbl>
      <w:tblPr>
        <w:tblStyle w:val="TableGrid"/>
        <w:tblW w:w="7641" w:type="dxa"/>
        <w:jc w:val="center"/>
        <w:tblInd w:w="3058" w:type="dxa"/>
        <w:tblLayout w:type="fixed"/>
        <w:tblLook w:val="04A0" w:firstRow="1" w:lastRow="0" w:firstColumn="1" w:lastColumn="0" w:noHBand="0" w:noVBand="1"/>
      </w:tblPr>
      <w:tblGrid>
        <w:gridCol w:w="888"/>
        <w:gridCol w:w="3781"/>
        <w:gridCol w:w="1486"/>
        <w:gridCol w:w="1486"/>
      </w:tblGrid>
      <w:tr w:rsidR="007335FD">
        <w:trPr>
          <w:trHeight w:val="333"/>
          <w:jc w:val="center"/>
        </w:trPr>
        <w:tc>
          <w:tcPr>
            <w:tcW w:w="888" w:type="dxa"/>
            <w:tcBorders>
              <w:bottom w:val="single" w:sz="4" w:space="0" w:color="auto"/>
            </w:tcBorders>
            <w:shd w:val="clear" w:color="auto" w:fill="C00000"/>
          </w:tcPr>
          <w:p w:rsidR="007335FD" w:rsidRDefault="00815898">
            <w:pPr>
              <w:jc w:val="center"/>
              <w:rPr>
                <w:rFonts w:cs="Aparajita"/>
                <w:b/>
                <w:sz w:val="24"/>
                <w:szCs w:val="24"/>
              </w:rPr>
            </w:pPr>
            <w:r>
              <w:rPr>
                <w:rFonts w:cs="Aparajita"/>
                <w:b/>
                <w:sz w:val="24"/>
                <w:szCs w:val="24"/>
              </w:rPr>
              <w:t>NO</w:t>
            </w:r>
          </w:p>
        </w:tc>
        <w:tc>
          <w:tcPr>
            <w:tcW w:w="3781" w:type="dxa"/>
            <w:tcBorders>
              <w:bottom w:val="single" w:sz="4" w:space="0" w:color="auto"/>
            </w:tcBorders>
            <w:shd w:val="clear" w:color="auto" w:fill="C00000"/>
          </w:tcPr>
          <w:p w:rsidR="007335FD" w:rsidRDefault="00815898">
            <w:pPr>
              <w:jc w:val="center"/>
              <w:rPr>
                <w:rFonts w:cs="Aparajita"/>
                <w:b/>
                <w:sz w:val="24"/>
                <w:szCs w:val="24"/>
              </w:rPr>
            </w:pPr>
            <w:r>
              <w:rPr>
                <w:rFonts w:cs="Aparajita"/>
                <w:b/>
                <w:sz w:val="24"/>
                <w:szCs w:val="24"/>
              </w:rPr>
              <w:t>Bidang</w:t>
            </w:r>
          </w:p>
        </w:tc>
        <w:tc>
          <w:tcPr>
            <w:tcW w:w="1486" w:type="dxa"/>
            <w:tcBorders>
              <w:bottom w:val="single" w:sz="4" w:space="0" w:color="auto"/>
            </w:tcBorders>
            <w:shd w:val="clear" w:color="auto" w:fill="C00000"/>
          </w:tcPr>
          <w:p w:rsidR="007335FD" w:rsidRDefault="00815898">
            <w:pPr>
              <w:jc w:val="center"/>
              <w:rPr>
                <w:rFonts w:cs="Aparajita"/>
                <w:b/>
                <w:sz w:val="24"/>
                <w:szCs w:val="24"/>
              </w:rPr>
            </w:pPr>
            <w:r>
              <w:rPr>
                <w:rFonts w:cs="Aparajita"/>
                <w:b/>
                <w:sz w:val="24"/>
                <w:szCs w:val="24"/>
              </w:rPr>
              <w:t>Jumlah</w:t>
            </w:r>
          </w:p>
        </w:tc>
        <w:tc>
          <w:tcPr>
            <w:tcW w:w="1486" w:type="dxa"/>
            <w:tcBorders>
              <w:bottom w:val="single" w:sz="4" w:space="0" w:color="auto"/>
            </w:tcBorders>
            <w:shd w:val="clear" w:color="auto" w:fill="C00000"/>
          </w:tcPr>
          <w:p w:rsidR="007335FD" w:rsidRDefault="00815898">
            <w:pPr>
              <w:jc w:val="center"/>
              <w:rPr>
                <w:rFonts w:cs="Aparajita"/>
                <w:b/>
                <w:sz w:val="24"/>
                <w:szCs w:val="24"/>
              </w:rPr>
            </w:pPr>
            <w:r>
              <w:rPr>
                <w:rFonts w:cs="Aparajita"/>
                <w:b/>
                <w:sz w:val="24"/>
                <w:szCs w:val="24"/>
              </w:rPr>
              <w:t>Persentase</w:t>
            </w:r>
          </w:p>
        </w:tc>
      </w:tr>
      <w:tr w:rsidR="007335FD">
        <w:trPr>
          <w:jc w:val="center"/>
        </w:trPr>
        <w:tc>
          <w:tcPr>
            <w:tcW w:w="888" w:type="dxa"/>
            <w:shd w:val="clear" w:color="auto" w:fill="auto"/>
          </w:tcPr>
          <w:p w:rsidR="007335FD" w:rsidRDefault="00815898">
            <w:pPr>
              <w:jc w:val="center"/>
              <w:rPr>
                <w:rFonts w:cs="Aparajita"/>
                <w:sz w:val="24"/>
                <w:szCs w:val="24"/>
              </w:rPr>
            </w:pPr>
            <w:r>
              <w:rPr>
                <w:rFonts w:cs="Aparajita"/>
                <w:sz w:val="24"/>
                <w:szCs w:val="24"/>
              </w:rPr>
              <w:t>1.</w:t>
            </w:r>
          </w:p>
        </w:tc>
        <w:tc>
          <w:tcPr>
            <w:tcW w:w="3781" w:type="dxa"/>
            <w:shd w:val="clear" w:color="auto" w:fill="auto"/>
          </w:tcPr>
          <w:p w:rsidR="007335FD" w:rsidRDefault="00815898">
            <w:pPr>
              <w:rPr>
                <w:rFonts w:cs="Aparajita"/>
                <w:sz w:val="24"/>
                <w:szCs w:val="24"/>
              </w:rPr>
            </w:pPr>
            <w:r>
              <w:rPr>
                <w:rFonts w:cs="Aparajita"/>
                <w:sz w:val="24"/>
                <w:szCs w:val="24"/>
              </w:rPr>
              <w:t>Sekretariat</w:t>
            </w:r>
          </w:p>
        </w:tc>
        <w:tc>
          <w:tcPr>
            <w:tcW w:w="1486" w:type="dxa"/>
            <w:shd w:val="clear" w:color="auto" w:fill="auto"/>
          </w:tcPr>
          <w:p w:rsidR="007335FD" w:rsidRDefault="00815898">
            <w:pPr>
              <w:jc w:val="center"/>
              <w:rPr>
                <w:rFonts w:cs="Aparajita"/>
                <w:sz w:val="24"/>
                <w:szCs w:val="24"/>
              </w:rPr>
            </w:pPr>
            <w:r>
              <w:rPr>
                <w:rFonts w:cs="Aparajita"/>
                <w:sz w:val="24"/>
                <w:szCs w:val="24"/>
              </w:rPr>
              <w:t>18 orang</w:t>
            </w:r>
          </w:p>
        </w:tc>
        <w:tc>
          <w:tcPr>
            <w:tcW w:w="1486" w:type="dxa"/>
            <w:shd w:val="clear" w:color="auto" w:fill="auto"/>
          </w:tcPr>
          <w:p w:rsidR="007335FD" w:rsidRDefault="00815898">
            <w:pPr>
              <w:jc w:val="center"/>
              <w:rPr>
                <w:rFonts w:cs="Aparajita"/>
                <w:sz w:val="24"/>
                <w:szCs w:val="24"/>
              </w:rPr>
            </w:pPr>
            <w:r>
              <w:rPr>
                <w:rFonts w:cs="Aparajita"/>
                <w:sz w:val="24"/>
                <w:szCs w:val="24"/>
              </w:rPr>
              <w:t>40%</w:t>
            </w:r>
          </w:p>
        </w:tc>
      </w:tr>
      <w:tr w:rsidR="007335FD">
        <w:trPr>
          <w:jc w:val="center"/>
        </w:trPr>
        <w:tc>
          <w:tcPr>
            <w:tcW w:w="888" w:type="dxa"/>
            <w:shd w:val="clear" w:color="auto" w:fill="auto"/>
          </w:tcPr>
          <w:p w:rsidR="007335FD" w:rsidRDefault="00815898">
            <w:pPr>
              <w:jc w:val="center"/>
              <w:rPr>
                <w:rFonts w:cs="Aparajita"/>
                <w:sz w:val="24"/>
                <w:szCs w:val="24"/>
              </w:rPr>
            </w:pPr>
            <w:r>
              <w:rPr>
                <w:rFonts w:cs="Aparajita"/>
                <w:sz w:val="24"/>
                <w:szCs w:val="24"/>
              </w:rPr>
              <w:t>2.</w:t>
            </w:r>
          </w:p>
        </w:tc>
        <w:tc>
          <w:tcPr>
            <w:tcW w:w="3781" w:type="dxa"/>
            <w:shd w:val="clear" w:color="auto" w:fill="auto"/>
          </w:tcPr>
          <w:p w:rsidR="007335FD" w:rsidRDefault="00815898">
            <w:pPr>
              <w:rPr>
                <w:rFonts w:cs="Aparajita"/>
                <w:sz w:val="24"/>
                <w:szCs w:val="24"/>
              </w:rPr>
            </w:pPr>
            <w:r>
              <w:rPr>
                <w:rFonts w:cs="Aparajita"/>
                <w:sz w:val="24"/>
                <w:szCs w:val="24"/>
              </w:rPr>
              <w:t>Bidang Idiologi &amp; Wasbang</w:t>
            </w:r>
          </w:p>
        </w:tc>
        <w:tc>
          <w:tcPr>
            <w:tcW w:w="1486" w:type="dxa"/>
            <w:shd w:val="clear" w:color="auto" w:fill="auto"/>
          </w:tcPr>
          <w:p w:rsidR="007335FD" w:rsidRDefault="00815898">
            <w:pPr>
              <w:jc w:val="center"/>
              <w:rPr>
                <w:rFonts w:cs="Aparajita"/>
              </w:rPr>
            </w:pPr>
            <w:r>
              <w:rPr>
                <w:rFonts w:cs="Aparajita"/>
                <w:sz w:val="24"/>
                <w:szCs w:val="24"/>
              </w:rPr>
              <w:t xml:space="preserve">  5 orang</w:t>
            </w:r>
          </w:p>
        </w:tc>
        <w:tc>
          <w:tcPr>
            <w:tcW w:w="1486" w:type="dxa"/>
            <w:shd w:val="clear" w:color="auto" w:fill="auto"/>
          </w:tcPr>
          <w:p w:rsidR="007335FD" w:rsidRDefault="00815898">
            <w:pPr>
              <w:jc w:val="center"/>
              <w:rPr>
                <w:rFonts w:cs="Aparajita"/>
                <w:sz w:val="24"/>
                <w:szCs w:val="24"/>
              </w:rPr>
            </w:pPr>
            <w:r>
              <w:rPr>
                <w:rFonts w:cs="Aparajita"/>
                <w:sz w:val="24"/>
                <w:szCs w:val="24"/>
              </w:rPr>
              <w:t>12%</w:t>
            </w:r>
          </w:p>
        </w:tc>
      </w:tr>
      <w:tr w:rsidR="007335FD">
        <w:trPr>
          <w:jc w:val="center"/>
        </w:trPr>
        <w:tc>
          <w:tcPr>
            <w:tcW w:w="888" w:type="dxa"/>
            <w:shd w:val="clear" w:color="auto" w:fill="auto"/>
          </w:tcPr>
          <w:p w:rsidR="007335FD" w:rsidRDefault="00815898">
            <w:pPr>
              <w:jc w:val="center"/>
              <w:rPr>
                <w:rFonts w:cs="Aparajita"/>
                <w:sz w:val="24"/>
                <w:szCs w:val="24"/>
              </w:rPr>
            </w:pPr>
            <w:r>
              <w:rPr>
                <w:rFonts w:cs="Aparajita"/>
                <w:sz w:val="24"/>
                <w:szCs w:val="24"/>
              </w:rPr>
              <w:t>3.</w:t>
            </w:r>
          </w:p>
        </w:tc>
        <w:tc>
          <w:tcPr>
            <w:tcW w:w="3781" w:type="dxa"/>
            <w:shd w:val="clear" w:color="auto" w:fill="auto"/>
          </w:tcPr>
          <w:p w:rsidR="007335FD" w:rsidRDefault="00815898">
            <w:pPr>
              <w:rPr>
                <w:rFonts w:cs="Aparajita"/>
                <w:sz w:val="24"/>
                <w:szCs w:val="24"/>
              </w:rPr>
            </w:pPr>
            <w:r>
              <w:rPr>
                <w:rFonts w:cs="Aparajita"/>
                <w:sz w:val="24"/>
                <w:szCs w:val="24"/>
              </w:rPr>
              <w:t>Bidang Kewaspadaan</w:t>
            </w:r>
          </w:p>
        </w:tc>
        <w:tc>
          <w:tcPr>
            <w:tcW w:w="1486" w:type="dxa"/>
            <w:shd w:val="clear" w:color="auto" w:fill="auto"/>
          </w:tcPr>
          <w:p w:rsidR="007335FD" w:rsidRDefault="00815898">
            <w:pPr>
              <w:jc w:val="center"/>
              <w:rPr>
                <w:rFonts w:cs="Aparajita"/>
              </w:rPr>
            </w:pPr>
            <w:r>
              <w:rPr>
                <w:rFonts w:cs="Aparajita"/>
                <w:sz w:val="24"/>
                <w:szCs w:val="24"/>
              </w:rPr>
              <w:t xml:space="preserve"> 8 orang</w:t>
            </w:r>
          </w:p>
        </w:tc>
        <w:tc>
          <w:tcPr>
            <w:tcW w:w="1486" w:type="dxa"/>
            <w:shd w:val="clear" w:color="auto" w:fill="auto"/>
          </w:tcPr>
          <w:p w:rsidR="007335FD" w:rsidRDefault="00815898">
            <w:pPr>
              <w:jc w:val="center"/>
              <w:rPr>
                <w:rFonts w:cs="Aparajita"/>
                <w:sz w:val="24"/>
                <w:szCs w:val="24"/>
              </w:rPr>
            </w:pPr>
            <w:r>
              <w:rPr>
                <w:rFonts w:cs="Aparajita"/>
                <w:sz w:val="24"/>
                <w:szCs w:val="24"/>
              </w:rPr>
              <w:t>18%</w:t>
            </w:r>
          </w:p>
        </w:tc>
      </w:tr>
      <w:tr w:rsidR="007335FD">
        <w:trPr>
          <w:jc w:val="center"/>
        </w:trPr>
        <w:tc>
          <w:tcPr>
            <w:tcW w:w="888" w:type="dxa"/>
            <w:shd w:val="clear" w:color="auto" w:fill="auto"/>
          </w:tcPr>
          <w:p w:rsidR="007335FD" w:rsidRDefault="00815898">
            <w:pPr>
              <w:jc w:val="center"/>
              <w:rPr>
                <w:rFonts w:cs="Aparajita"/>
                <w:sz w:val="24"/>
                <w:szCs w:val="24"/>
              </w:rPr>
            </w:pPr>
            <w:r>
              <w:rPr>
                <w:rFonts w:cs="Aparajita"/>
                <w:sz w:val="24"/>
                <w:szCs w:val="24"/>
              </w:rPr>
              <w:t>4.</w:t>
            </w:r>
          </w:p>
        </w:tc>
        <w:tc>
          <w:tcPr>
            <w:tcW w:w="3781" w:type="dxa"/>
            <w:shd w:val="clear" w:color="auto" w:fill="auto"/>
          </w:tcPr>
          <w:p w:rsidR="007335FD" w:rsidRDefault="00815898">
            <w:pPr>
              <w:rPr>
                <w:rFonts w:cs="Aparajita"/>
                <w:sz w:val="24"/>
                <w:szCs w:val="24"/>
              </w:rPr>
            </w:pPr>
            <w:r>
              <w:rPr>
                <w:rFonts w:cs="Aparajita"/>
                <w:sz w:val="24"/>
                <w:szCs w:val="24"/>
              </w:rPr>
              <w:t>Bidang Pembinaan Kemasyarakatan</w:t>
            </w:r>
          </w:p>
        </w:tc>
        <w:tc>
          <w:tcPr>
            <w:tcW w:w="1486" w:type="dxa"/>
            <w:shd w:val="clear" w:color="auto" w:fill="auto"/>
          </w:tcPr>
          <w:p w:rsidR="007335FD" w:rsidRDefault="00815898">
            <w:pPr>
              <w:jc w:val="center"/>
              <w:rPr>
                <w:rFonts w:cs="Aparajita"/>
              </w:rPr>
            </w:pPr>
            <w:r>
              <w:rPr>
                <w:rFonts w:cs="Aparajita"/>
                <w:sz w:val="24"/>
                <w:szCs w:val="24"/>
              </w:rPr>
              <w:t xml:space="preserve"> 7 orang</w:t>
            </w:r>
          </w:p>
        </w:tc>
        <w:tc>
          <w:tcPr>
            <w:tcW w:w="1486" w:type="dxa"/>
            <w:shd w:val="clear" w:color="auto" w:fill="auto"/>
          </w:tcPr>
          <w:p w:rsidR="007335FD" w:rsidRDefault="00815898">
            <w:pPr>
              <w:jc w:val="center"/>
              <w:rPr>
                <w:rFonts w:cs="Aparajita"/>
                <w:sz w:val="24"/>
                <w:szCs w:val="24"/>
              </w:rPr>
            </w:pPr>
            <w:r>
              <w:rPr>
                <w:rFonts w:cs="Aparajita"/>
                <w:sz w:val="24"/>
                <w:szCs w:val="24"/>
              </w:rPr>
              <w:t>15%</w:t>
            </w:r>
          </w:p>
        </w:tc>
      </w:tr>
      <w:tr w:rsidR="007335FD">
        <w:trPr>
          <w:jc w:val="center"/>
        </w:trPr>
        <w:tc>
          <w:tcPr>
            <w:tcW w:w="888" w:type="dxa"/>
            <w:shd w:val="clear" w:color="auto" w:fill="auto"/>
          </w:tcPr>
          <w:p w:rsidR="007335FD" w:rsidRDefault="00815898">
            <w:pPr>
              <w:jc w:val="center"/>
              <w:rPr>
                <w:rFonts w:cs="Aparajita"/>
                <w:sz w:val="24"/>
                <w:szCs w:val="24"/>
              </w:rPr>
            </w:pPr>
            <w:r>
              <w:rPr>
                <w:rFonts w:cs="Aparajita"/>
                <w:sz w:val="24"/>
                <w:szCs w:val="24"/>
              </w:rPr>
              <w:t>5.</w:t>
            </w:r>
          </w:p>
        </w:tc>
        <w:tc>
          <w:tcPr>
            <w:tcW w:w="3781" w:type="dxa"/>
            <w:shd w:val="clear" w:color="auto" w:fill="auto"/>
          </w:tcPr>
          <w:p w:rsidR="007335FD" w:rsidRDefault="00815898">
            <w:pPr>
              <w:rPr>
                <w:rFonts w:cs="Aparajita"/>
                <w:sz w:val="24"/>
                <w:szCs w:val="24"/>
              </w:rPr>
            </w:pPr>
            <w:r>
              <w:rPr>
                <w:rFonts w:cs="Aparajita"/>
                <w:sz w:val="24"/>
                <w:szCs w:val="24"/>
              </w:rPr>
              <w:t>Bidang Politik Dalam Negeri</w:t>
            </w:r>
          </w:p>
        </w:tc>
        <w:tc>
          <w:tcPr>
            <w:tcW w:w="1486" w:type="dxa"/>
            <w:shd w:val="clear" w:color="auto" w:fill="auto"/>
          </w:tcPr>
          <w:p w:rsidR="007335FD" w:rsidRDefault="00815898">
            <w:pPr>
              <w:jc w:val="center"/>
              <w:rPr>
                <w:rFonts w:cs="Aparajita"/>
              </w:rPr>
            </w:pPr>
            <w:r>
              <w:rPr>
                <w:rFonts w:cs="Aparajita"/>
                <w:sz w:val="24"/>
                <w:szCs w:val="24"/>
              </w:rPr>
              <w:t xml:space="preserve"> 7 orang</w:t>
            </w:r>
          </w:p>
        </w:tc>
        <w:tc>
          <w:tcPr>
            <w:tcW w:w="1486" w:type="dxa"/>
            <w:shd w:val="clear" w:color="auto" w:fill="auto"/>
          </w:tcPr>
          <w:p w:rsidR="007335FD" w:rsidRDefault="00815898">
            <w:pPr>
              <w:jc w:val="center"/>
              <w:rPr>
                <w:rFonts w:cs="Aparajita"/>
                <w:sz w:val="24"/>
                <w:szCs w:val="24"/>
              </w:rPr>
            </w:pPr>
            <w:r>
              <w:rPr>
                <w:rFonts w:cs="Aparajita"/>
                <w:sz w:val="24"/>
                <w:szCs w:val="24"/>
              </w:rPr>
              <w:t>15%</w:t>
            </w:r>
          </w:p>
        </w:tc>
      </w:tr>
      <w:tr w:rsidR="007335FD">
        <w:trPr>
          <w:jc w:val="center"/>
        </w:trPr>
        <w:tc>
          <w:tcPr>
            <w:tcW w:w="888" w:type="dxa"/>
            <w:shd w:val="clear" w:color="auto" w:fill="auto"/>
          </w:tcPr>
          <w:p w:rsidR="007335FD" w:rsidRDefault="007335FD">
            <w:pPr>
              <w:jc w:val="center"/>
              <w:rPr>
                <w:rFonts w:cs="Aparajita"/>
                <w:sz w:val="24"/>
                <w:szCs w:val="24"/>
              </w:rPr>
            </w:pPr>
          </w:p>
        </w:tc>
        <w:tc>
          <w:tcPr>
            <w:tcW w:w="3781" w:type="dxa"/>
            <w:shd w:val="clear" w:color="auto" w:fill="auto"/>
          </w:tcPr>
          <w:p w:rsidR="007335FD" w:rsidRDefault="00815898">
            <w:pPr>
              <w:jc w:val="center"/>
              <w:rPr>
                <w:rFonts w:eastAsia="Batang" w:cs="Aparajita"/>
                <w:sz w:val="24"/>
              </w:rPr>
            </w:pPr>
            <w:r>
              <w:rPr>
                <w:rFonts w:eastAsia="Batang" w:cs="Aparajita"/>
                <w:b/>
                <w:sz w:val="24"/>
              </w:rPr>
              <w:t>JUMLAH</w:t>
            </w:r>
          </w:p>
        </w:tc>
        <w:tc>
          <w:tcPr>
            <w:tcW w:w="1486" w:type="dxa"/>
            <w:shd w:val="clear" w:color="auto" w:fill="auto"/>
          </w:tcPr>
          <w:p w:rsidR="007335FD" w:rsidRDefault="00815898">
            <w:pPr>
              <w:jc w:val="center"/>
              <w:rPr>
                <w:rFonts w:cs="Aparajita"/>
                <w:sz w:val="24"/>
                <w:szCs w:val="24"/>
              </w:rPr>
            </w:pPr>
            <w:r>
              <w:rPr>
                <w:rFonts w:eastAsia="Batang" w:cs="Aparajita"/>
                <w:b/>
                <w:sz w:val="24"/>
              </w:rPr>
              <w:t>45 orang</w:t>
            </w:r>
          </w:p>
        </w:tc>
        <w:tc>
          <w:tcPr>
            <w:tcW w:w="1486" w:type="dxa"/>
            <w:shd w:val="clear" w:color="auto" w:fill="auto"/>
          </w:tcPr>
          <w:p w:rsidR="007335FD" w:rsidRDefault="00815898">
            <w:pPr>
              <w:jc w:val="center"/>
              <w:rPr>
                <w:rFonts w:eastAsia="Batang" w:cs="Aparajita"/>
                <w:b/>
                <w:sz w:val="24"/>
              </w:rPr>
            </w:pPr>
            <w:r>
              <w:rPr>
                <w:rFonts w:eastAsia="Batang" w:cs="Aparajita"/>
                <w:b/>
                <w:sz w:val="24"/>
              </w:rPr>
              <w:t>100%</w:t>
            </w:r>
          </w:p>
        </w:tc>
      </w:tr>
    </w:tbl>
    <w:p w:rsidR="007335FD" w:rsidRDefault="00815898">
      <w:pPr>
        <w:ind w:leftChars="500" w:left="1100" w:right="-21"/>
        <w:rPr>
          <w:rFonts w:ascii="Tahoma" w:eastAsia="Calibri" w:hAnsi="Tahoma" w:cs="Tahoma"/>
          <w:bCs/>
          <w:i/>
          <w:sz w:val="20"/>
          <w:szCs w:val="20"/>
        </w:rPr>
      </w:pPr>
      <w:r>
        <w:rPr>
          <w:rFonts w:ascii="Tahoma" w:eastAsia="Calibri" w:hAnsi="Tahoma" w:cs="Tahoma"/>
          <w:bCs/>
          <w:i/>
          <w:sz w:val="20"/>
          <w:szCs w:val="20"/>
        </w:rPr>
        <w:t xml:space="preserve"> </w:t>
      </w:r>
      <w:proofErr w:type="gramStart"/>
      <w:r>
        <w:rPr>
          <w:rFonts w:ascii="Tahoma" w:eastAsia="Calibri" w:hAnsi="Tahoma" w:cs="Tahoma"/>
          <w:bCs/>
          <w:i/>
          <w:sz w:val="20"/>
          <w:szCs w:val="20"/>
        </w:rPr>
        <w:t>Sumber :</w:t>
      </w:r>
      <w:proofErr w:type="gramEnd"/>
      <w:r>
        <w:rPr>
          <w:rFonts w:ascii="Tahoma" w:eastAsia="Calibri" w:hAnsi="Tahoma" w:cs="Tahoma"/>
          <w:bCs/>
          <w:i/>
          <w:sz w:val="20"/>
          <w:szCs w:val="20"/>
        </w:rPr>
        <w:t xml:space="preserve"> Subag. </w:t>
      </w:r>
      <w:proofErr w:type="gramStart"/>
      <w:r>
        <w:rPr>
          <w:rFonts w:ascii="Tahoma" w:eastAsia="Calibri" w:hAnsi="Tahoma" w:cs="Tahoma"/>
          <w:bCs/>
          <w:i/>
          <w:sz w:val="20"/>
          <w:szCs w:val="20"/>
        </w:rPr>
        <w:t>Umum dan Kepegawaian Badan Kesbangpol Prop.</w:t>
      </w:r>
      <w:proofErr w:type="gramEnd"/>
      <w:r>
        <w:rPr>
          <w:rFonts w:ascii="Tahoma" w:eastAsia="Calibri" w:hAnsi="Tahoma" w:cs="Tahoma"/>
          <w:bCs/>
          <w:i/>
          <w:sz w:val="20"/>
          <w:szCs w:val="20"/>
        </w:rPr>
        <w:t xml:space="preserve"> </w:t>
      </w:r>
      <w:proofErr w:type="gramStart"/>
      <w:r>
        <w:rPr>
          <w:rFonts w:ascii="Tahoma" w:eastAsia="Calibri" w:hAnsi="Tahoma" w:cs="Tahoma"/>
          <w:bCs/>
          <w:i/>
          <w:sz w:val="20"/>
          <w:szCs w:val="20"/>
        </w:rPr>
        <w:t>Sumbar.</w:t>
      </w:r>
      <w:proofErr w:type="gramEnd"/>
    </w:p>
    <w:p w:rsidR="007335FD" w:rsidRDefault="00815898">
      <w:pPr>
        <w:spacing w:line="360" w:lineRule="auto"/>
        <w:ind w:left="880" w:right="-21" w:firstLine="440"/>
        <w:jc w:val="both"/>
        <w:rPr>
          <w:rFonts w:eastAsia="Calibri" w:hAnsi="Tahoma" w:cs="Tahoma"/>
          <w:bCs/>
          <w:sz w:val="24"/>
          <w:szCs w:val="24"/>
        </w:rPr>
      </w:pPr>
      <w:r>
        <w:rPr>
          <w:rFonts w:eastAsia="Calibri" w:hAnsi="Tahoma" w:cs="Tahoma"/>
          <w:bCs/>
          <w:sz w:val="24"/>
          <w:szCs w:val="24"/>
        </w:rPr>
        <w:t xml:space="preserve">Sebagaimana diuraikan pada tabel di atas, tercatat 40% pegawai berada di sekretariat, sedangkan jumlah pegawai yang ditempatkan pada masing-masing bidang kurang dari 20%. </w:t>
      </w:r>
      <w:proofErr w:type="gramStart"/>
      <w:r>
        <w:rPr>
          <w:rFonts w:eastAsia="Calibri" w:hAnsi="Tahoma" w:cs="Tahoma"/>
          <w:bCs/>
          <w:sz w:val="24"/>
          <w:szCs w:val="24"/>
        </w:rPr>
        <w:t>Sehingga perlu adanya penambahan pegawai pada masing-masing bidang untuk memaksimalkan pelaksanaan tugas-tugas Badan Kesbangpol.</w:t>
      </w:r>
      <w:proofErr w:type="gramEnd"/>
      <w:r>
        <w:rPr>
          <w:rFonts w:eastAsia="Calibri" w:hAnsi="Tahoma" w:cs="Tahoma"/>
          <w:bCs/>
          <w:sz w:val="24"/>
          <w:szCs w:val="24"/>
        </w:rPr>
        <w:t xml:space="preserve">  Secara grafik komposisi pegawai per bidang dapat dilihat di bawah ini:</w:t>
      </w:r>
    </w:p>
    <w:p w:rsidR="007335FD" w:rsidRDefault="00815898">
      <w:pPr>
        <w:pStyle w:val="NoSpacing"/>
        <w:ind w:leftChars="400" w:left="880"/>
        <w:jc w:val="center"/>
        <w:rPr>
          <w:b/>
          <w:bCs/>
          <w:sz w:val="24"/>
          <w:szCs w:val="24"/>
        </w:rPr>
      </w:pPr>
      <w:r>
        <w:rPr>
          <w:b/>
          <w:bCs/>
          <w:sz w:val="24"/>
          <w:szCs w:val="24"/>
        </w:rPr>
        <w:t xml:space="preserve"> </w:t>
      </w:r>
      <w:proofErr w:type="gramStart"/>
      <w:r>
        <w:rPr>
          <w:b/>
          <w:bCs/>
          <w:sz w:val="24"/>
          <w:szCs w:val="24"/>
        </w:rPr>
        <w:t>Gambar 1.5.</w:t>
      </w:r>
      <w:proofErr w:type="gramEnd"/>
      <w:r>
        <w:rPr>
          <w:b/>
          <w:bCs/>
          <w:sz w:val="24"/>
          <w:szCs w:val="24"/>
        </w:rPr>
        <w:t xml:space="preserve"> Komposisi Pegawai </w:t>
      </w:r>
      <w:proofErr w:type="gramStart"/>
      <w:r>
        <w:rPr>
          <w:b/>
          <w:bCs/>
          <w:sz w:val="24"/>
          <w:szCs w:val="24"/>
        </w:rPr>
        <w:t>Per</w:t>
      </w:r>
      <w:proofErr w:type="gramEnd"/>
      <w:r>
        <w:rPr>
          <w:b/>
          <w:bCs/>
          <w:sz w:val="24"/>
          <w:szCs w:val="24"/>
        </w:rPr>
        <w:t xml:space="preserve"> Bidang</w:t>
      </w:r>
    </w:p>
    <w:p w:rsidR="007335FD" w:rsidRDefault="00815898">
      <w:pPr>
        <w:pStyle w:val="NoSpacing"/>
        <w:ind w:leftChars="400" w:left="882" w:hanging="2"/>
        <w:jc w:val="center"/>
        <w:rPr>
          <w:b/>
          <w:bCs/>
          <w:sz w:val="24"/>
          <w:szCs w:val="24"/>
        </w:rPr>
      </w:pPr>
      <w:r>
        <w:rPr>
          <w:b/>
          <w:bCs/>
          <w:sz w:val="24"/>
          <w:szCs w:val="24"/>
        </w:rPr>
        <w:t>Pada Badan Kesbangpol Provinsi Sumatera Barat</w:t>
      </w:r>
    </w:p>
    <w:p w:rsidR="007335FD" w:rsidRDefault="00815898">
      <w:pPr>
        <w:spacing w:line="360" w:lineRule="auto"/>
        <w:ind w:leftChars="400" w:left="880" w:right="-21" w:firstLineChars="275" w:firstLine="607"/>
        <w:jc w:val="both"/>
        <w:rPr>
          <w:rFonts w:eastAsia="Calibri" w:hAnsi="Tahoma" w:cs="Tahoma"/>
          <w:bCs/>
          <w:sz w:val="24"/>
          <w:szCs w:val="24"/>
        </w:rPr>
      </w:pPr>
      <w:r>
        <w:rPr>
          <w:rFonts w:ascii="Agency FB" w:hAnsi="Agency FB" w:cs="Andalus"/>
          <w:b/>
          <w:noProof/>
        </w:rPr>
        <w:drawing>
          <wp:inline distT="0" distB="0" distL="0" distR="0">
            <wp:extent cx="4516755" cy="2486025"/>
            <wp:effectExtent l="19050" t="19050" r="23495" b="22225"/>
            <wp:docPr id="3"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35FD" w:rsidRDefault="00815898">
      <w:pPr>
        <w:spacing w:line="360" w:lineRule="auto"/>
        <w:ind w:leftChars="400" w:left="880" w:right="-21" w:firstLineChars="275" w:firstLine="550"/>
        <w:jc w:val="both"/>
        <w:rPr>
          <w:rFonts w:eastAsia="Calibri" w:hAnsi="Tahoma" w:cs="Tahoma"/>
          <w:bCs/>
          <w:sz w:val="24"/>
          <w:szCs w:val="24"/>
        </w:rPr>
      </w:pPr>
      <w:proofErr w:type="gramStart"/>
      <w:r>
        <w:rPr>
          <w:rFonts w:ascii="Tahoma" w:eastAsia="Calibri" w:hAnsi="Tahoma" w:cs="Tahoma"/>
          <w:bCs/>
          <w:i/>
          <w:sz w:val="20"/>
          <w:szCs w:val="20"/>
        </w:rPr>
        <w:t>Sumber :</w:t>
      </w:r>
      <w:proofErr w:type="gramEnd"/>
      <w:r>
        <w:rPr>
          <w:rFonts w:ascii="Tahoma" w:eastAsia="Calibri" w:hAnsi="Tahoma" w:cs="Tahoma"/>
          <w:bCs/>
          <w:i/>
          <w:sz w:val="20"/>
          <w:szCs w:val="20"/>
        </w:rPr>
        <w:t xml:space="preserve"> Subag. </w:t>
      </w:r>
      <w:proofErr w:type="gramStart"/>
      <w:r>
        <w:rPr>
          <w:rFonts w:ascii="Tahoma" w:eastAsia="Calibri" w:hAnsi="Tahoma" w:cs="Tahoma"/>
          <w:bCs/>
          <w:i/>
          <w:sz w:val="20"/>
          <w:szCs w:val="20"/>
        </w:rPr>
        <w:t>Umum dan Kepegawaian Badan Kesbangpol Prop.</w:t>
      </w:r>
      <w:proofErr w:type="gramEnd"/>
      <w:r>
        <w:rPr>
          <w:rFonts w:ascii="Tahoma" w:eastAsia="Calibri" w:hAnsi="Tahoma" w:cs="Tahoma"/>
          <w:bCs/>
          <w:i/>
          <w:sz w:val="20"/>
          <w:szCs w:val="20"/>
        </w:rPr>
        <w:t xml:space="preserve"> </w:t>
      </w:r>
      <w:proofErr w:type="gramStart"/>
      <w:r>
        <w:rPr>
          <w:rFonts w:ascii="Tahoma" w:eastAsia="Calibri" w:hAnsi="Tahoma" w:cs="Tahoma"/>
          <w:bCs/>
          <w:i/>
          <w:sz w:val="20"/>
          <w:szCs w:val="20"/>
        </w:rPr>
        <w:t>Sumbar.</w:t>
      </w:r>
      <w:proofErr w:type="gramEnd"/>
    </w:p>
    <w:p w:rsidR="007335FD" w:rsidRDefault="007335FD">
      <w:pPr>
        <w:spacing w:line="360" w:lineRule="auto"/>
        <w:ind w:leftChars="400" w:left="880" w:right="-21" w:firstLineChars="275" w:firstLine="660"/>
        <w:jc w:val="both"/>
        <w:rPr>
          <w:rFonts w:eastAsia="Calibri" w:hAnsi="Tahoma" w:cs="Tahoma"/>
          <w:bCs/>
          <w:sz w:val="24"/>
          <w:szCs w:val="24"/>
        </w:rPr>
      </w:pPr>
    </w:p>
    <w:p w:rsidR="007335FD" w:rsidRDefault="007335FD">
      <w:pPr>
        <w:spacing w:line="360" w:lineRule="auto"/>
        <w:ind w:leftChars="400" w:left="880" w:right="-21" w:firstLineChars="275" w:firstLine="660"/>
        <w:jc w:val="both"/>
        <w:rPr>
          <w:rFonts w:eastAsia="Calibri" w:hAnsi="Tahoma" w:cs="Tahoma"/>
          <w:bCs/>
          <w:sz w:val="24"/>
          <w:szCs w:val="24"/>
        </w:rPr>
      </w:pPr>
    </w:p>
    <w:p w:rsidR="007335FD" w:rsidRDefault="007335FD">
      <w:pPr>
        <w:spacing w:line="360" w:lineRule="auto"/>
        <w:ind w:leftChars="400" w:left="880" w:right="-21" w:firstLineChars="275" w:firstLine="660"/>
        <w:jc w:val="both"/>
        <w:rPr>
          <w:rFonts w:eastAsia="Calibri" w:hAnsi="Tahoma" w:cs="Tahoma"/>
          <w:bCs/>
          <w:sz w:val="24"/>
          <w:szCs w:val="24"/>
        </w:rPr>
      </w:pP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lastRenderedPageBreak/>
        <w:t>1.3.3.2 Anggaran</w:t>
      </w:r>
    </w:p>
    <w:p w:rsidR="007335FD" w:rsidRDefault="00815898">
      <w:pPr>
        <w:spacing w:before="120" w:line="360" w:lineRule="auto"/>
        <w:ind w:leftChars="400" w:left="880" w:firstLineChars="200" w:firstLine="480"/>
        <w:jc w:val="both"/>
        <w:rPr>
          <w:rFonts w:eastAsia="Batang" w:cs="Aparajita"/>
          <w:sz w:val="24"/>
          <w:szCs w:val="24"/>
        </w:rPr>
      </w:pPr>
      <w:r>
        <w:rPr>
          <w:rFonts w:hAnsi="Tahoma" w:cs="Tahoma"/>
          <w:sz w:val="24"/>
          <w:szCs w:val="24"/>
          <w:lang w:val="sv-SE"/>
        </w:rPr>
        <w:t>Pelaksanaan Program Kerja Badan Ke</w:t>
      </w:r>
      <w:r>
        <w:rPr>
          <w:rFonts w:hAnsi="Tahoma" w:cs="Tahoma"/>
          <w:sz w:val="24"/>
          <w:szCs w:val="24"/>
        </w:rPr>
        <w:t xml:space="preserve">satuan Bangsa dan Politik </w:t>
      </w:r>
      <w:r>
        <w:rPr>
          <w:rFonts w:hAnsi="Tahoma" w:cs="Tahoma"/>
          <w:sz w:val="24"/>
          <w:szCs w:val="24"/>
          <w:lang w:val="sv-SE"/>
        </w:rPr>
        <w:t xml:space="preserve">Provinsi Sumatera Barat Tahun </w:t>
      </w:r>
      <w:r>
        <w:rPr>
          <w:rFonts w:hAnsi="Tahoma" w:cs="Tahoma"/>
          <w:sz w:val="24"/>
          <w:szCs w:val="24"/>
        </w:rPr>
        <w:t xml:space="preserve">Anggaran </w:t>
      </w:r>
      <w:r>
        <w:rPr>
          <w:rFonts w:hAnsi="Tahoma" w:cs="Tahoma"/>
          <w:sz w:val="24"/>
          <w:szCs w:val="24"/>
          <w:lang w:val="sv-SE"/>
        </w:rPr>
        <w:t xml:space="preserve">2018 didukung oleh Dana APBD Provinsi Sumatera Barat sebesar </w:t>
      </w:r>
      <w:r>
        <w:rPr>
          <w:rFonts w:eastAsia="Batang" w:cs="Aparajita"/>
          <w:color w:val="000000"/>
          <w:sz w:val="24"/>
          <w:szCs w:val="24"/>
        </w:rPr>
        <w:t xml:space="preserve"> </w:t>
      </w:r>
      <w:r>
        <w:rPr>
          <w:rFonts w:eastAsia="Batang" w:cs="Aparajita"/>
          <w:b/>
          <w:color w:val="000000"/>
          <w:sz w:val="24"/>
          <w:szCs w:val="24"/>
          <w:u w:val="single"/>
        </w:rPr>
        <w:t>Rp.12.839.134.938,05</w:t>
      </w:r>
      <w:r>
        <w:rPr>
          <w:rFonts w:eastAsia="Batang" w:cs="Aparajita"/>
          <w:color w:val="000000"/>
          <w:sz w:val="24"/>
          <w:szCs w:val="24"/>
        </w:rPr>
        <w:t xml:space="preserve"> yang terdiri dari belanja tidak langsung sebesar </w:t>
      </w:r>
      <w:r>
        <w:rPr>
          <w:rFonts w:eastAsia="Batang" w:cs="Aparajita"/>
          <w:b/>
          <w:color w:val="000000"/>
          <w:sz w:val="24"/>
          <w:szCs w:val="24"/>
          <w:u w:val="single"/>
        </w:rPr>
        <w:t>Rp.4.691.845,05</w:t>
      </w:r>
      <w:r>
        <w:rPr>
          <w:rFonts w:eastAsia="Batang" w:cs="Aparajita"/>
          <w:b/>
          <w:color w:val="000000"/>
          <w:sz w:val="24"/>
          <w:szCs w:val="24"/>
        </w:rPr>
        <w:t xml:space="preserve"> </w:t>
      </w:r>
      <w:r>
        <w:rPr>
          <w:rFonts w:eastAsia="Batang" w:cs="Aparajita"/>
          <w:color w:val="000000"/>
          <w:sz w:val="24"/>
          <w:szCs w:val="24"/>
        </w:rPr>
        <w:t>dan belanja langsung sebesar</w:t>
      </w:r>
      <w:r>
        <w:rPr>
          <w:rFonts w:eastAsia="Batang" w:cs="Aparajita"/>
          <w:b/>
          <w:bCs/>
          <w:color w:val="000000"/>
          <w:sz w:val="24"/>
          <w:szCs w:val="24"/>
        </w:rPr>
        <w:t xml:space="preserve"> Rp</w:t>
      </w:r>
      <w:r>
        <w:rPr>
          <w:rFonts w:eastAsia="Batang" w:cs="Aparajita"/>
          <w:color w:val="000000"/>
          <w:sz w:val="24"/>
          <w:szCs w:val="24"/>
        </w:rPr>
        <w:t>.</w:t>
      </w:r>
      <w:r>
        <w:rPr>
          <w:rFonts w:eastAsia="Batang" w:cs="Aparajita"/>
          <w:b/>
          <w:color w:val="000000"/>
          <w:sz w:val="24"/>
          <w:szCs w:val="24"/>
          <w:u w:val="single"/>
        </w:rPr>
        <w:t>8.148.024.093.</w:t>
      </w:r>
      <w:r>
        <w:rPr>
          <w:rFonts w:eastAsia="Batang" w:cs="Aparajita"/>
          <w:sz w:val="24"/>
          <w:szCs w:val="24"/>
        </w:rPr>
        <w:t xml:space="preserve"> Adapun realisasinya pada akhir Desember 2018 untuk belanja tidak langsung sebesar </w:t>
      </w:r>
      <w:r>
        <w:rPr>
          <w:rFonts w:eastAsia="Batang" w:cs="Aparajita"/>
          <w:b/>
          <w:sz w:val="24"/>
          <w:szCs w:val="24"/>
          <w:u w:val="single"/>
        </w:rPr>
        <w:t>Rp. 4.230.464.720 (90</w:t>
      </w:r>
      <w:proofErr w:type="gramStart"/>
      <w:r>
        <w:rPr>
          <w:rFonts w:eastAsia="Batang" w:cs="Aparajita"/>
          <w:b/>
          <w:sz w:val="24"/>
          <w:szCs w:val="24"/>
          <w:u w:val="single"/>
        </w:rPr>
        <w:t>,17</w:t>
      </w:r>
      <w:proofErr w:type="gramEnd"/>
      <w:r>
        <w:rPr>
          <w:rFonts w:eastAsia="Batang" w:cs="Aparajita"/>
          <w:b/>
          <w:sz w:val="24"/>
          <w:szCs w:val="24"/>
          <w:u w:val="single"/>
        </w:rPr>
        <w:t>%)</w:t>
      </w:r>
      <w:r>
        <w:rPr>
          <w:rFonts w:eastAsia="Batang" w:cs="Aparajita"/>
          <w:sz w:val="24"/>
          <w:szCs w:val="24"/>
        </w:rPr>
        <w:t xml:space="preserve"> sedangkan realisasi belanja langsung sebesar </w:t>
      </w:r>
      <w:r>
        <w:rPr>
          <w:rFonts w:eastAsia="Batang" w:cs="Aparajita"/>
          <w:b/>
          <w:sz w:val="24"/>
          <w:szCs w:val="24"/>
          <w:u w:val="single"/>
        </w:rPr>
        <w:t>Rp.7.837.304.271 (96,19%).</w:t>
      </w:r>
      <w:r>
        <w:rPr>
          <w:rFonts w:eastAsia="Batang" w:cs="Aparajita"/>
          <w:sz w:val="24"/>
          <w:szCs w:val="24"/>
        </w:rPr>
        <w:t xml:space="preserve"> Jumlah total realisasi belanja langsung dan belanja tidak langsung per Desember 2018 sebesar </w:t>
      </w:r>
      <w:r>
        <w:rPr>
          <w:rFonts w:eastAsia="Batang" w:cs="Aparajita"/>
          <w:b/>
          <w:sz w:val="24"/>
          <w:szCs w:val="24"/>
          <w:u w:val="single"/>
        </w:rPr>
        <w:t xml:space="preserve">Rp.12.067.768.991 </w:t>
      </w:r>
      <w:r>
        <w:rPr>
          <w:rFonts w:eastAsia="Batang" w:cs="Aparajita"/>
          <w:sz w:val="24"/>
          <w:szCs w:val="24"/>
        </w:rPr>
        <w:t xml:space="preserve">tau </w:t>
      </w:r>
      <w:r>
        <w:rPr>
          <w:rFonts w:eastAsia="Batang" w:cs="Aparajita"/>
          <w:b/>
          <w:sz w:val="24"/>
          <w:szCs w:val="24"/>
          <w:u w:val="single"/>
        </w:rPr>
        <w:t>93</w:t>
      </w:r>
      <w:proofErr w:type="gramStart"/>
      <w:r>
        <w:rPr>
          <w:rFonts w:eastAsia="Batang" w:cs="Aparajita"/>
          <w:b/>
          <w:sz w:val="24"/>
          <w:szCs w:val="24"/>
          <w:u w:val="single"/>
        </w:rPr>
        <w:t>,99</w:t>
      </w:r>
      <w:proofErr w:type="gramEnd"/>
      <w:r>
        <w:rPr>
          <w:rFonts w:eastAsia="Batang" w:cs="Aparajita"/>
          <w:b/>
          <w:sz w:val="24"/>
          <w:szCs w:val="24"/>
          <w:u w:val="single"/>
        </w:rPr>
        <w:t>%.</w:t>
      </w:r>
      <w:r>
        <w:rPr>
          <w:rFonts w:eastAsia="Batang" w:cs="Aparajita"/>
          <w:sz w:val="24"/>
          <w:szCs w:val="24"/>
        </w:rPr>
        <w:t xml:space="preserve"> </w:t>
      </w: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t>1.3.3.3 Inventarisasi Aset</w:t>
      </w:r>
    </w:p>
    <w:p w:rsidR="007335FD" w:rsidRDefault="00815898">
      <w:pPr>
        <w:spacing w:line="360" w:lineRule="auto"/>
        <w:ind w:left="880" w:firstLine="560"/>
        <w:jc w:val="both"/>
        <w:rPr>
          <w:rFonts w:hAnsi="Tahoma" w:cs="Tahoma"/>
          <w:sz w:val="24"/>
          <w:szCs w:val="24"/>
        </w:rPr>
      </w:pPr>
      <w:proofErr w:type="gramStart"/>
      <w:r>
        <w:rPr>
          <w:rFonts w:hAnsi="Tahoma" w:cs="Tahoma"/>
          <w:sz w:val="24"/>
          <w:szCs w:val="24"/>
        </w:rPr>
        <w:t>Pada umumnya kondisi sarana dan prasarana yang dimiliki cukup memadai untuk mendukung pelayanan pada Badan Kesatuan Bangsa dan Politik Provinsi Sumatera Barat.</w:t>
      </w:r>
      <w:proofErr w:type="gramEnd"/>
      <w:r>
        <w:rPr>
          <w:rFonts w:hAnsi="Tahoma" w:cs="Tahoma"/>
          <w:sz w:val="24"/>
          <w:szCs w:val="24"/>
        </w:rPr>
        <w:t xml:space="preserve"> Nilai aset yang dikelola Badan Kesbangpol per 31 Desember 2018 sebesar Rp.7.073.145.363,- terdiri atas aset tetap sebesar Rp. 6.844.419.963,- dan aset lainnya sebesar Rp. 227.725.400,-.Sarana dan prasarana yang dikelola per Desember 2018 sebagai berikut: </w:t>
      </w:r>
    </w:p>
    <w:p w:rsidR="007335FD" w:rsidRDefault="00815898">
      <w:pPr>
        <w:pStyle w:val="NoSpacing"/>
        <w:ind w:leftChars="400" w:left="880"/>
        <w:jc w:val="center"/>
        <w:rPr>
          <w:b/>
          <w:bCs/>
          <w:sz w:val="24"/>
          <w:szCs w:val="24"/>
        </w:rPr>
      </w:pPr>
      <w:proofErr w:type="gramStart"/>
      <w:r>
        <w:rPr>
          <w:b/>
          <w:bCs/>
          <w:sz w:val="24"/>
          <w:szCs w:val="24"/>
        </w:rPr>
        <w:t>Tabel 1.4.</w:t>
      </w:r>
      <w:proofErr w:type="gramEnd"/>
      <w:r>
        <w:rPr>
          <w:b/>
          <w:bCs/>
          <w:sz w:val="24"/>
          <w:szCs w:val="24"/>
        </w:rPr>
        <w:t xml:space="preserve"> Daftar Aset Badan Kesbangpol Provinsi Sumatera Barat</w:t>
      </w:r>
    </w:p>
    <w:p w:rsidR="007335FD" w:rsidRDefault="00815898">
      <w:pPr>
        <w:pStyle w:val="NoSpacing"/>
        <w:ind w:leftChars="400" w:left="880"/>
        <w:jc w:val="center"/>
        <w:rPr>
          <w:b/>
          <w:bCs/>
          <w:sz w:val="24"/>
          <w:szCs w:val="24"/>
        </w:rPr>
      </w:pPr>
      <w:r>
        <w:rPr>
          <w:b/>
          <w:bCs/>
          <w:sz w:val="24"/>
          <w:szCs w:val="24"/>
        </w:rPr>
        <w:t>Per Desember 2018</w:t>
      </w:r>
    </w:p>
    <w:tbl>
      <w:tblPr>
        <w:tblpPr w:leftFromText="180" w:rightFromText="180" w:vertAnchor="text" w:horzAnchor="page" w:tblpX="2396" w:tblpY="292"/>
        <w:tblOverlap w:val="neve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895"/>
        <w:gridCol w:w="3083"/>
      </w:tblGrid>
      <w:tr w:rsidR="007335FD">
        <w:tc>
          <w:tcPr>
            <w:tcW w:w="700" w:type="dxa"/>
            <w:shd w:val="clear" w:color="auto" w:fill="C00000"/>
          </w:tcPr>
          <w:p w:rsidR="007335FD" w:rsidRDefault="00815898">
            <w:pPr>
              <w:pStyle w:val="NoSpacing"/>
              <w:jc w:val="center"/>
              <w:rPr>
                <w:b/>
                <w:bCs/>
                <w:sz w:val="24"/>
                <w:szCs w:val="24"/>
              </w:rPr>
            </w:pPr>
            <w:r>
              <w:rPr>
                <w:b/>
                <w:bCs/>
                <w:sz w:val="24"/>
                <w:szCs w:val="24"/>
              </w:rPr>
              <w:t>No</w:t>
            </w:r>
          </w:p>
        </w:tc>
        <w:tc>
          <w:tcPr>
            <w:tcW w:w="4895" w:type="dxa"/>
            <w:shd w:val="clear" w:color="auto" w:fill="C00000"/>
          </w:tcPr>
          <w:p w:rsidR="007335FD" w:rsidRDefault="00815898">
            <w:pPr>
              <w:pStyle w:val="NoSpacing"/>
              <w:jc w:val="center"/>
              <w:rPr>
                <w:b/>
                <w:bCs/>
                <w:sz w:val="24"/>
                <w:szCs w:val="24"/>
              </w:rPr>
            </w:pPr>
            <w:r>
              <w:rPr>
                <w:b/>
                <w:bCs/>
                <w:sz w:val="24"/>
                <w:szCs w:val="24"/>
              </w:rPr>
              <w:t>Jenis Barang</w:t>
            </w:r>
          </w:p>
        </w:tc>
        <w:tc>
          <w:tcPr>
            <w:tcW w:w="3083" w:type="dxa"/>
            <w:shd w:val="clear" w:color="auto" w:fill="C00000"/>
          </w:tcPr>
          <w:p w:rsidR="007335FD" w:rsidRDefault="00815898">
            <w:pPr>
              <w:pStyle w:val="NoSpacing"/>
              <w:ind w:rightChars="-78" w:right="-172"/>
              <w:jc w:val="center"/>
              <w:rPr>
                <w:b/>
                <w:bCs/>
                <w:sz w:val="24"/>
                <w:szCs w:val="24"/>
              </w:rPr>
            </w:pPr>
            <w:r>
              <w:rPr>
                <w:b/>
                <w:bCs/>
                <w:sz w:val="24"/>
                <w:szCs w:val="24"/>
              </w:rPr>
              <w:t>Jumlah</w:t>
            </w:r>
          </w:p>
        </w:tc>
      </w:tr>
      <w:tr w:rsidR="007335FD">
        <w:tc>
          <w:tcPr>
            <w:tcW w:w="700" w:type="dxa"/>
          </w:tcPr>
          <w:p w:rsidR="007335FD" w:rsidRDefault="00815898">
            <w:pPr>
              <w:pStyle w:val="NoSpacing"/>
              <w:rPr>
                <w:sz w:val="24"/>
                <w:szCs w:val="24"/>
              </w:rPr>
            </w:pPr>
            <w:r>
              <w:rPr>
                <w:sz w:val="24"/>
                <w:szCs w:val="24"/>
              </w:rPr>
              <w:t>I.</w:t>
            </w:r>
          </w:p>
        </w:tc>
        <w:tc>
          <w:tcPr>
            <w:tcW w:w="4895" w:type="dxa"/>
          </w:tcPr>
          <w:p w:rsidR="007335FD" w:rsidRDefault="00815898">
            <w:pPr>
              <w:pStyle w:val="NoSpacing"/>
              <w:rPr>
                <w:sz w:val="24"/>
                <w:szCs w:val="24"/>
              </w:rPr>
            </w:pPr>
            <w:r>
              <w:rPr>
                <w:sz w:val="24"/>
                <w:szCs w:val="24"/>
              </w:rPr>
              <w:t>ASET TETAP</w:t>
            </w:r>
          </w:p>
        </w:tc>
        <w:tc>
          <w:tcPr>
            <w:tcW w:w="3083" w:type="dxa"/>
          </w:tcPr>
          <w:p w:rsidR="007335FD" w:rsidRDefault="007335FD">
            <w:pPr>
              <w:pStyle w:val="NoSpacing"/>
              <w:rPr>
                <w:sz w:val="24"/>
                <w:szCs w:val="24"/>
              </w:rPr>
            </w:pPr>
          </w:p>
        </w:tc>
      </w:tr>
      <w:tr w:rsidR="007335FD">
        <w:tc>
          <w:tcPr>
            <w:tcW w:w="700" w:type="dxa"/>
            <w:tcBorders>
              <w:bottom w:val="single" w:sz="4" w:space="0" w:color="auto"/>
            </w:tcBorders>
          </w:tcPr>
          <w:p w:rsidR="007335FD" w:rsidRDefault="00815898">
            <w:pPr>
              <w:pStyle w:val="NoSpacing"/>
              <w:rPr>
                <w:sz w:val="24"/>
                <w:szCs w:val="24"/>
              </w:rPr>
            </w:pPr>
            <w:r>
              <w:rPr>
                <w:sz w:val="24"/>
                <w:szCs w:val="24"/>
              </w:rPr>
              <w:t>1</w:t>
            </w:r>
          </w:p>
        </w:tc>
        <w:tc>
          <w:tcPr>
            <w:tcW w:w="4895" w:type="dxa"/>
            <w:tcBorders>
              <w:bottom w:val="single" w:sz="4" w:space="0" w:color="auto"/>
            </w:tcBorders>
          </w:tcPr>
          <w:p w:rsidR="007335FD" w:rsidRDefault="00815898">
            <w:pPr>
              <w:pStyle w:val="NoSpacing"/>
              <w:rPr>
                <w:sz w:val="24"/>
                <w:szCs w:val="24"/>
              </w:rPr>
            </w:pPr>
            <w:r>
              <w:rPr>
                <w:sz w:val="24"/>
                <w:szCs w:val="24"/>
              </w:rPr>
              <w:t>Golongan Tanah</w:t>
            </w:r>
          </w:p>
          <w:p w:rsidR="007335FD" w:rsidRDefault="00815898">
            <w:pPr>
              <w:pStyle w:val="NoSpacing"/>
              <w:rPr>
                <w:sz w:val="24"/>
                <w:szCs w:val="24"/>
              </w:rPr>
            </w:pPr>
            <w:r>
              <w:rPr>
                <w:sz w:val="24"/>
                <w:szCs w:val="24"/>
              </w:rPr>
              <w:t>Tanah</w:t>
            </w:r>
          </w:p>
        </w:tc>
        <w:tc>
          <w:tcPr>
            <w:tcW w:w="3083" w:type="dxa"/>
            <w:tcBorders>
              <w:bottom w:val="single" w:sz="4" w:space="0" w:color="auto"/>
            </w:tcBorders>
          </w:tcPr>
          <w:p w:rsidR="007335FD" w:rsidRDefault="007335FD">
            <w:pPr>
              <w:pStyle w:val="NoSpacing"/>
              <w:rPr>
                <w:sz w:val="24"/>
                <w:szCs w:val="24"/>
              </w:rPr>
            </w:pPr>
          </w:p>
          <w:p w:rsidR="007335FD" w:rsidRDefault="00815898">
            <w:pPr>
              <w:pStyle w:val="NoSpacing"/>
              <w:rPr>
                <w:sz w:val="24"/>
                <w:szCs w:val="24"/>
              </w:rPr>
            </w:pPr>
            <w:r>
              <w:rPr>
                <w:sz w:val="24"/>
                <w:szCs w:val="24"/>
              </w:rPr>
              <w:t>4.535 M2</w:t>
            </w:r>
          </w:p>
        </w:tc>
      </w:tr>
      <w:tr w:rsidR="007335FD">
        <w:tc>
          <w:tcPr>
            <w:tcW w:w="700" w:type="dxa"/>
            <w:tcBorders>
              <w:top w:val="single" w:sz="4" w:space="0" w:color="auto"/>
              <w:bottom w:val="single" w:sz="4" w:space="0" w:color="auto"/>
            </w:tcBorders>
          </w:tcPr>
          <w:p w:rsidR="007335FD" w:rsidRDefault="00815898">
            <w:pPr>
              <w:pStyle w:val="NoSpacing"/>
              <w:rPr>
                <w:sz w:val="24"/>
                <w:szCs w:val="24"/>
              </w:rPr>
            </w:pPr>
            <w:r>
              <w:rPr>
                <w:sz w:val="24"/>
                <w:szCs w:val="24"/>
              </w:rPr>
              <w:t>2</w:t>
            </w:r>
          </w:p>
        </w:tc>
        <w:tc>
          <w:tcPr>
            <w:tcW w:w="4895" w:type="dxa"/>
            <w:tcBorders>
              <w:top w:val="single" w:sz="4" w:space="0" w:color="auto"/>
              <w:bottom w:val="single" w:sz="4" w:space="0" w:color="auto"/>
            </w:tcBorders>
          </w:tcPr>
          <w:p w:rsidR="007335FD" w:rsidRDefault="00815898">
            <w:pPr>
              <w:pStyle w:val="NoSpacing"/>
              <w:rPr>
                <w:sz w:val="24"/>
                <w:szCs w:val="24"/>
              </w:rPr>
            </w:pPr>
            <w:r>
              <w:rPr>
                <w:sz w:val="24"/>
                <w:szCs w:val="24"/>
              </w:rPr>
              <w:t>- Golongan Peralatan dan Mesin</w:t>
            </w:r>
          </w:p>
          <w:p w:rsidR="007335FD" w:rsidRDefault="00815898">
            <w:pPr>
              <w:pStyle w:val="NoSpacing"/>
              <w:rPr>
                <w:sz w:val="24"/>
                <w:szCs w:val="24"/>
              </w:rPr>
            </w:pPr>
            <w:r>
              <w:rPr>
                <w:sz w:val="24"/>
                <w:szCs w:val="24"/>
              </w:rPr>
              <w:t>- Alat-alat angkutan</w:t>
            </w:r>
          </w:p>
          <w:p w:rsidR="007335FD" w:rsidRDefault="00815898">
            <w:pPr>
              <w:pStyle w:val="NoSpacing"/>
              <w:rPr>
                <w:sz w:val="24"/>
                <w:szCs w:val="24"/>
              </w:rPr>
            </w:pPr>
            <w:r>
              <w:rPr>
                <w:sz w:val="24"/>
                <w:szCs w:val="24"/>
              </w:rPr>
              <w:t>- Alat kantor dan rumah tangga</w:t>
            </w:r>
          </w:p>
          <w:p w:rsidR="007335FD" w:rsidRDefault="00815898">
            <w:pPr>
              <w:pStyle w:val="NoSpacing"/>
              <w:rPr>
                <w:sz w:val="24"/>
                <w:szCs w:val="24"/>
              </w:rPr>
            </w:pPr>
            <w:r>
              <w:rPr>
                <w:sz w:val="24"/>
                <w:szCs w:val="24"/>
              </w:rPr>
              <w:t>- Alat studio dan alat komunikasi</w:t>
            </w:r>
          </w:p>
          <w:p w:rsidR="007335FD" w:rsidRDefault="00815898">
            <w:pPr>
              <w:pStyle w:val="NoSpacing"/>
              <w:rPr>
                <w:sz w:val="24"/>
                <w:szCs w:val="24"/>
              </w:rPr>
            </w:pPr>
            <w:r>
              <w:rPr>
                <w:sz w:val="24"/>
                <w:szCs w:val="24"/>
              </w:rPr>
              <w:t>- Alat laboratorium</w:t>
            </w:r>
          </w:p>
        </w:tc>
        <w:tc>
          <w:tcPr>
            <w:tcW w:w="3083" w:type="dxa"/>
            <w:tcBorders>
              <w:top w:val="single" w:sz="4" w:space="0" w:color="auto"/>
              <w:bottom w:val="single" w:sz="4" w:space="0" w:color="auto"/>
            </w:tcBorders>
          </w:tcPr>
          <w:p w:rsidR="007335FD" w:rsidRDefault="007335FD">
            <w:pPr>
              <w:pStyle w:val="NoSpacing"/>
              <w:rPr>
                <w:sz w:val="24"/>
                <w:szCs w:val="24"/>
              </w:rPr>
            </w:pPr>
          </w:p>
          <w:p w:rsidR="007335FD" w:rsidRDefault="00815898">
            <w:pPr>
              <w:pStyle w:val="NoSpacing"/>
              <w:rPr>
                <w:sz w:val="24"/>
                <w:szCs w:val="24"/>
              </w:rPr>
            </w:pPr>
            <w:r>
              <w:rPr>
                <w:sz w:val="24"/>
                <w:szCs w:val="24"/>
              </w:rPr>
              <w:t>7 unit</w:t>
            </w:r>
          </w:p>
          <w:p w:rsidR="007335FD" w:rsidRDefault="00815898">
            <w:pPr>
              <w:pStyle w:val="NoSpacing"/>
              <w:rPr>
                <w:sz w:val="24"/>
                <w:szCs w:val="24"/>
              </w:rPr>
            </w:pPr>
            <w:r>
              <w:rPr>
                <w:sz w:val="24"/>
                <w:szCs w:val="24"/>
              </w:rPr>
              <w:t>280 unit</w:t>
            </w:r>
          </w:p>
          <w:p w:rsidR="007335FD" w:rsidRDefault="00815898">
            <w:pPr>
              <w:pStyle w:val="NoSpacing"/>
              <w:rPr>
                <w:sz w:val="24"/>
                <w:szCs w:val="24"/>
              </w:rPr>
            </w:pPr>
            <w:r>
              <w:rPr>
                <w:sz w:val="24"/>
                <w:szCs w:val="24"/>
              </w:rPr>
              <w:t>5 unit</w:t>
            </w:r>
          </w:p>
          <w:p w:rsidR="007335FD" w:rsidRDefault="00815898">
            <w:pPr>
              <w:pStyle w:val="NoSpacing"/>
              <w:rPr>
                <w:sz w:val="24"/>
                <w:szCs w:val="24"/>
              </w:rPr>
            </w:pPr>
            <w:r>
              <w:rPr>
                <w:sz w:val="24"/>
                <w:szCs w:val="24"/>
              </w:rPr>
              <w:t>1 unit</w:t>
            </w:r>
          </w:p>
        </w:tc>
      </w:tr>
      <w:tr w:rsidR="007335FD">
        <w:tc>
          <w:tcPr>
            <w:tcW w:w="700" w:type="dxa"/>
            <w:tcBorders>
              <w:top w:val="single" w:sz="4" w:space="0" w:color="auto"/>
            </w:tcBorders>
          </w:tcPr>
          <w:p w:rsidR="007335FD" w:rsidRDefault="00815898">
            <w:pPr>
              <w:pStyle w:val="NoSpacing"/>
              <w:rPr>
                <w:sz w:val="24"/>
                <w:szCs w:val="24"/>
              </w:rPr>
            </w:pPr>
            <w:r>
              <w:rPr>
                <w:sz w:val="24"/>
                <w:szCs w:val="24"/>
              </w:rPr>
              <w:t>3</w:t>
            </w:r>
          </w:p>
        </w:tc>
        <w:tc>
          <w:tcPr>
            <w:tcW w:w="4895" w:type="dxa"/>
            <w:tcBorders>
              <w:top w:val="single" w:sz="4" w:space="0" w:color="auto"/>
            </w:tcBorders>
          </w:tcPr>
          <w:p w:rsidR="007335FD" w:rsidRDefault="00815898">
            <w:pPr>
              <w:pStyle w:val="NoSpacing"/>
              <w:rPr>
                <w:sz w:val="24"/>
                <w:szCs w:val="24"/>
              </w:rPr>
            </w:pPr>
            <w:r>
              <w:rPr>
                <w:sz w:val="24"/>
                <w:szCs w:val="24"/>
              </w:rPr>
              <w:t>Golongan Gedung dan Bangunan</w:t>
            </w:r>
          </w:p>
          <w:p w:rsidR="007335FD" w:rsidRDefault="00815898">
            <w:pPr>
              <w:pStyle w:val="NoSpacing"/>
              <w:rPr>
                <w:sz w:val="24"/>
                <w:szCs w:val="24"/>
              </w:rPr>
            </w:pPr>
            <w:r>
              <w:rPr>
                <w:sz w:val="24"/>
                <w:szCs w:val="24"/>
              </w:rPr>
              <w:t>Bangunan Gedung</w:t>
            </w:r>
          </w:p>
        </w:tc>
        <w:tc>
          <w:tcPr>
            <w:tcW w:w="3083" w:type="dxa"/>
            <w:tcBorders>
              <w:top w:val="single" w:sz="4" w:space="0" w:color="auto"/>
            </w:tcBorders>
          </w:tcPr>
          <w:p w:rsidR="007335FD" w:rsidRDefault="007335FD">
            <w:pPr>
              <w:pStyle w:val="NoSpacing"/>
              <w:rPr>
                <w:sz w:val="24"/>
                <w:szCs w:val="24"/>
              </w:rPr>
            </w:pPr>
          </w:p>
          <w:p w:rsidR="007335FD" w:rsidRDefault="00815898">
            <w:pPr>
              <w:pStyle w:val="NoSpacing"/>
              <w:rPr>
                <w:sz w:val="24"/>
                <w:szCs w:val="24"/>
              </w:rPr>
            </w:pPr>
            <w:r>
              <w:rPr>
                <w:sz w:val="24"/>
                <w:szCs w:val="24"/>
              </w:rPr>
              <w:t>774 M2</w:t>
            </w:r>
          </w:p>
        </w:tc>
      </w:tr>
      <w:tr w:rsidR="007335FD">
        <w:tc>
          <w:tcPr>
            <w:tcW w:w="700" w:type="dxa"/>
          </w:tcPr>
          <w:p w:rsidR="007335FD" w:rsidRDefault="00815898">
            <w:pPr>
              <w:pStyle w:val="NoSpacing"/>
              <w:rPr>
                <w:sz w:val="24"/>
                <w:szCs w:val="24"/>
              </w:rPr>
            </w:pPr>
            <w:r>
              <w:rPr>
                <w:sz w:val="24"/>
                <w:szCs w:val="24"/>
              </w:rPr>
              <w:t>II.</w:t>
            </w:r>
          </w:p>
        </w:tc>
        <w:tc>
          <w:tcPr>
            <w:tcW w:w="4895" w:type="dxa"/>
          </w:tcPr>
          <w:p w:rsidR="007335FD" w:rsidRDefault="00815898">
            <w:pPr>
              <w:pStyle w:val="NoSpacing"/>
              <w:rPr>
                <w:sz w:val="24"/>
                <w:szCs w:val="24"/>
              </w:rPr>
            </w:pPr>
            <w:r>
              <w:rPr>
                <w:sz w:val="24"/>
                <w:szCs w:val="24"/>
              </w:rPr>
              <w:t>ASET LAINNYA</w:t>
            </w:r>
          </w:p>
        </w:tc>
        <w:tc>
          <w:tcPr>
            <w:tcW w:w="3083" w:type="dxa"/>
          </w:tcPr>
          <w:p w:rsidR="007335FD" w:rsidRDefault="007335FD">
            <w:pPr>
              <w:pStyle w:val="NoSpacing"/>
              <w:rPr>
                <w:sz w:val="24"/>
                <w:szCs w:val="24"/>
              </w:rPr>
            </w:pPr>
          </w:p>
        </w:tc>
      </w:tr>
      <w:tr w:rsidR="007335FD">
        <w:tc>
          <w:tcPr>
            <w:tcW w:w="700" w:type="dxa"/>
          </w:tcPr>
          <w:p w:rsidR="007335FD" w:rsidRDefault="00815898">
            <w:pPr>
              <w:pStyle w:val="NoSpacing"/>
              <w:rPr>
                <w:sz w:val="24"/>
                <w:szCs w:val="24"/>
              </w:rPr>
            </w:pPr>
            <w:r>
              <w:rPr>
                <w:sz w:val="24"/>
                <w:szCs w:val="24"/>
              </w:rPr>
              <w:t>1</w:t>
            </w:r>
          </w:p>
          <w:p w:rsidR="007335FD" w:rsidRDefault="007335FD">
            <w:pPr>
              <w:pStyle w:val="NoSpacing"/>
              <w:rPr>
                <w:sz w:val="24"/>
                <w:szCs w:val="24"/>
              </w:rPr>
            </w:pPr>
          </w:p>
        </w:tc>
        <w:tc>
          <w:tcPr>
            <w:tcW w:w="4895" w:type="dxa"/>
          </w:tcPr>
          <w:p w:rsidR="007335FD" w:rsidRDefault="00815898">
            <w:pPr>
              <w:pStyle w:val="NoSpacing"/>
              <w:rPr>
                <w:sz w:val="24"/>
                <w:szCs w:val="24"/>
              </w:rPr>
            </w:pPr>
            <w:r>
              <w:rPr>
                <w:sz w:val="24"/>
                <w:szCs w:val="24"/>
              </w:rPr>
              <w:t xml:space="preserve">Aset tidak bermanfaat </w:t>
            </w:r>
          </w:p>
        </w:tc>
        <w:tc>
          <w:tcPr>
            <w:tcW w:w="3083" w:type="dxa"/>
          </w:tcPr>
          <w:p w:rsidR="007335FD" w:rsidRDefault="00815898">
            <w:pPr>
              <w:pStyle w:val="NoSpacing"/>
              <w:rPr>
                <w:sz w:val="24"/>
                <w:szCs w:val="24"/>
              </w:rPr>
            </w:pPr>
            <w:r>
              <w:rPr>
                <w:sz w:val="24"/>
                <w:szCs w:val="24"/>
              </w:rPr>
              <w:t>771 unit</w:t>
            </w:r>
          </w:p>
        </w:tc>
      </w:tr>
    </w:tbl>
    <w:p w:rsidR="007335FD" w:rsidRDefault="007335FD">
      <w:pPr>
        <w:pStyle w:val="NoSpacing"/>
        <w:ind w:leftChars="400" w:left="880"/>
        <w:jc w:val="center"/>
        <w:rPr>
          <w:b/>
          <w:bCs/>
          <w:sz w:val="24"/>
          <w:szCs w:val="24"/>
        </w:rPr>
      </w:pPr>
    </w:p>
    <w:p w:rsidR="007335FD" w:rsidRDefault="00815898">
      <w:pPr>
        <w:spacing w:line="360" w:lineRule="auto"/>
        <w:ind w:right="-21" w:firstLine="360"/>
        <w:jc w:val="both"/>
        <w:rPr>
          <w:rFonts w:hAnsi="Tahoma" w:cs="Tahoma"/>
          <w:i/>
          <w:sz w:val="24"/>
          <w:szCs w:val="24"/>
        </w:rPr>
      </w:pPr>
      <w:r>
        <w:rPr>
          <w:rFonts w:hAnsi="Tahoma" w:cs="Tahoma"/>
          <w:i/>
          <w:sz w:val="24"/>
          <w:szCs w:val="24"/>
        </w:rPr>
        <w:t xml:space="preserve">     </w:t>
      </w:r>
    </w:p>
    <w:p w:rsidR="007335FD" w:rsidRDefault="007335FD">
      <w:pPr>
        <w:spacing w:line="360" w:lineRule="auto"/>
        <w:ind w:right="-21" w:firstLine="360"/>
        <w:jc w:val="both"/>
        <w:rPr>
          <w:rFonts w:hAnsi="Tahoma" w:cs="Tahoma"/>
          <w:i/>
          <w:sz w:val="24"/>
          <w:szCs w:val="24"/>
        </w:rPr>
      </w:pPr>
    </w:p>
    <w:p w:rsidR="007335FD" w:rsidRDefault="007335FD">
      <w:pPr>
        <w:spacing w:line="360" w:lineRule="auto"/>
        <w:ind w:right="-21" w:firstLine="360"/>
        <w:jc w:val="both"/>
        <w:rPr>
          <w:rFonts w:hAnsi="Tahoma" w:cs="Tahoma"/>
          <w:i/>
          <w:sz w:val="24"/>
          <w:szCs w:val="24"/>
        </w:rPr>
      </w:pPr>
    </w:p>
    <w:p w:rsidR="007335FD" w:rsidRDefault="007335FD">
      <w:pPr>
        <w:spacing w:line="360" w:lineRule="auto"/>
        <w:ind w:right="-21" w:firstLine="360"/>
        <w:jc w:val="both"/>
        <w:rPr>
          <w:rFonts w:hAnsi="Tahoma" w:cs="Tahoma"/>
          <w:i/>
          <w:sz w:val="24"/>
          <w:szCs w:val="24"/>
        </w:rPr>
      </w:pPr>
    </w:p>
    <w:p w:rsidR="007335FD" w:rsidRDefault="007335FD">
      <w:pPr>
        <w:spacing w:line="360" w:lineRule="auto"/>
        <w:ind w:right="-21" w:firstLine="360"/>
        <w:jc w:val="both"/>
        <w:rPr>
          <w:rFonts w:hAnsi="Tahoma" w:cs="Tahoma"/>
          <w:i/>
          <w:sz w:val="24"/>
          <w:szCs w:val="24"/>
        </w:rPr>
      </w:pPr>
    </w:p>
    <w:p w:rsidR="007335FD" w:rsidRDefault="007335FD">
      <w:pPr>
        <w:spacing w:line="360" w:lineRule="auto"/>
        <w:ind w:right="-21" w:firstLine="360"/>
        <w:jc w:val="both"/>
        <w:rPr>
          <w:rFonts w:hAnsi="Tahoma" w:cs="Tahoma"/>
          <w:i/>
          <w:sz w:val="24"/>
          <w:szCs w:val="24"/>
        </w:rPr>
      </w:pPr>
    </w:p>
    <w:p w:rsidR="007335FD" w:rsidRDefault="007335FD">
      <w:pPr>
        <w:spacing w:line="360" w:lineRule="auto"/>
        <w:ind w:right="-21" w:firstLine="360"/>
        <w:jc w:val="both"/>
        <w:rPr>
          <w:rFonts w:hAnsi="Tahoma" w:cs="Tahoma"/>
          <w:i/>
          <w:sz w:val="24"/>
          <w:szCs w:val="24"/>
        </w:rPr>
      </w:pPr>
    </w:p>
    <w:p w:rsidR="007335FD" w:rsidRDefault="00815898">
      <w:pPr>
        <w:spacing w:line="360" w:lineRule="auto"/>
        <w:ind w:right="-21" w:firstLine="360"/>
        <w:jc w:val="both"/>
        <w:rPr>
          <w:rFonts w:hAnsi="Tahoma" w:cs="Tahoma"/>
          <w:i/>
          <w:sz w:val="24"/>
          <w:szCs w:val="24"/>
        </w:rPr>
      </w:pPr>
      <w:proofErr w:type="gramStart"/>
      <w:r>
        <w:rPr>
          <w:rFonts w:hAnsi="Tahoma" w:cs="Tahoma"/>
          <w:i/>
          <w:sz w:val="24"/>
          <w:szCs w:val="24"/>
        </w:rPr>
        <w:t>Sumber :</w:t>
      </w:r>
      <w:proofErr w:type="gramEnd"/>
      <w:r>
        <w:rPr>
          <w:rFonts w:hAnsi="Tahoma" w:cs="Tahoma"/>
          <w:i/>
          <w:sz w:val="24"/>
          <w:szCs w:val="24"/>
        </w:rPr>
        <w:t xml:space="preserve"> Kartu Inventaris Barang Badan Kesbangpol Prov. Sumbar</w:t>
      </w: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lastRenderedPageBreak/>
        <w:t>1.3.3.4 Sarana dan Prasarana</w:t>
      </w:r>
    </w:p>
    <w:p w:rsidR="007335FD" w:rsidRDefault="00815898">
      <w:pPr>
        <w:spacing w:line="360" w:lineRule="auto"/>
        <w:ind w:leftChars="400" w:left="880" w:firstLineChars="200" w:firstLine="480"/>
        <w:jc w:val="both"/>
        <w:rPr>
          <w:rFonts w:hAnsi="Tahoma" w:cs="Tahoma"/>
          <w:sz w:val="24"/>
          <w:szCs w:val="24"/>
        </w:rPr>
      </w:pPr>
      <w:proofErr w:type="gramStart"/>
      <w:r>
        <w:rPr>
          <w:rFonts w:hAnsi="Tahoma" w:cs="Tahoma"/>
          <w:sz w:val="24"/>
          <w:szCs w:val="24"/>
        </w:rPr>
        <w:t>Di samping sumber daya manusia yang profesional, ketersediaan sarana dan prasarana juga merupakan unsur penting dalam mendukung kelancaran pelaksanaan tugas pokok dan fungsi.</w:t>
      </w:r>
      <w:proofErr w:type="gramEnd"/>
      <w:r>
        <w:rPr>
          <w:rFonts w:hAnsi="Tahoma" w:cs="Tahoma"/>
          <w:sz w:val="24"/>
          <w:szCs w:val="24"/>
        </w:rPr>
        <w:t xml:space="preserve"> </w:t>
      </w:r>
      <w:proofErr w:type="gramStart"/>
      <w:r>
        <w:rPr>
          <w:rFonts w:hAnsi="Tahoma" w:cs="Tahoma"/>
          <w:sz w:val="24"/>
          <w:szCs w:val="24"/>
        </w:rPr>
        <w:t>Badan Kesatuan Bangsa dan Politik Provinsi Sumatera Barat telah dilengkapi sarana dan prasarana yang diharapkan mampu mendukung pelaksanaan tugas dan fungsinya.</w:t>
      </w:r>
      <w:proofErr w:type="gramEnd"/>
      <w:r>
        <w:rPr>
          <w:rFonts w:hAnsi="Tahoma" w:cs="Tahoma"/>
          <w:sz w:val="24"/>
          <w:szCs w:val="24"/>
        </w:rPr>
        <w:t xml:space="preserve"> </w:t>
      </w:r>
      <w:proofErr w:type="gramStart"/>
      <w:r>
        <w:rPr>
          <w:rFonts w:hAnsi="Tahoma" w:cs="Tahoma"/>
          <w:sz w:val="24"/>
          <w:szCs w:val="24"/>
        </w:rPr>
        <w:t>Sedangkan untuk prasarana gedung, Badan Kesatuan Bangsa dan Politik Provinsi Sumatera Barat belum memiliki gedung yang memadai untuk menampung pelaksanaan tugas karena belum adanya ruang rapat yang representatif untuk menunjang tugas pokok dan fungsi aparatur di lingkungan Badan Kesbangpol Prov Sumbar.</w:t>
      </w:r>
      <w:proofErr w:type="gramEnd"/>
      <w:r>
        <w:rPr>
          <w:rFonts w:hAnsi="Tahoma" w:cs="Tahoma"/>
          <w:sz w:val="24"/>
          <w:szCs w:val="24"/>
        </w:rPr>
        <w:t xml:space="preserve"> </w:t>
      </w:r>
      <w:proofErr w:type="gramStart"/>
      <w:r>
        <w:rPr>
          <w:rFonts w:hAnsi="Tahoma" w:cs="Tahoma"/>
          <w:sz w:val="24"/>
          <w:szCs w:val="24"/>
        </w:rPr>
        <w:t>Selain itu, Badan Kesbangpol Provinsi Sumatera Barat saat ini belum memiliki ruangan tata naskah yang dipergunakan untuk menyimpan arsip pegawai, aula dan mushalla yang memadai.</w:t>
      </w:r>
      <w:proofErr w:type="gramEnd"/>
    </w:p>
    <w:p w:rsidR="007335FD" w:rsidRDefault="00815898">
      <w:pPr>
        <w:spacing w:line="360" w:lineRule="auto"/>
        <w:ind w:leftChars="400" w:left="880" w:firstLineChars="200" w:firstLine="480"/>
        <w:jc w:val="both"/>
        <w:rPr>
          <w:rFonts w:hAnsi="Tahoma" w:cs="Tahoma"/>
          <w:sz w:val="24"/>
          <w:szCs w:val="24"/>
        </w:rPr>
      </w:pPr>
      <w:r>
        <w:rPr>
          <w:rFonts w:hAnsi="Tahoma" w:cs="Tahoma"/>
          <w:sz w:val="24"/>
          <w:szCs w:val="24"/>
        </w:rPr>
        <w:t xml:space="preserve">Sarana dan prasarana gedung pada Badan Kesatuan Bangsa dan Politik Provinsi Sumatera Barat terdiri dari ruangan Kepala Badan, ruangan Sekretariat, ruangan bidang kewaspadaan, bidang idiologi dan wasbang, bidang politik dalam negeri dan bidang pembinaan kemasyarakatan. </w:t>
      </w:r>
    </w:p>
    <w:p w:rsidR="007335FD" w:rsidRDefault="00815898">
      <w:pPr>
        <w:spacing w:line="360" w:lineRule="auto"/>
        <w:ind w:leftChars="400" w:left="880" w:firstLineChars="200" w:firstLine="480"/>
        <w:jc w:val="both"/>
        <w:rPr>
          <w:rFonts w:hAnsi="Tahoma" w:cs="Tahoma"/>
          <w:sz w:val="24"/>
          <w:szCs w:val="24"/>
        </w:rPr>
      </w:pPr>
      <w:r>
        <w:rPr>
          <w:rFonts w:hAnsi="Tahoma" w:cs="Tahoma"/>
          <w:sz w:val="24"/>
          <w:szCs w:val="24"/>
        </w:rPr>
        <w:t>Dalam menunjang pelaksanaan tugas kedinasan Badan Kesatuan Bangsa dan Politik Provinsi Sumatera Barat memiliki 5 (</w:t>
      </w:r>
      <w:proofErr w:type="gramStart"/>
      <w:r>
        <w:rPr>
          <w:rFonts w:hAnsi="Tahoma" w:cs="Tahoma"/>
          <w:sz w:val="24"/>
          <w:szCs w:val="24"/>
        </w:rPr>
        <w:t>lima</w:t>
      </w:r>
      <w:proofErr w:type="gramEnd"/>
      <w:r>
        <w:rPr>
          <w:rFonts w:hAnsi="Tahoma" w:cs="Tahoma"/>
          <w:sz w:val="24"/>
          <w:szCs w:val="24"/>
        </w:rPr>
        <w:t>) unit kendaraan dinas operasional roda empat dan 2 (dua) unit kendaraan dinas roda dua sebagaimana yang terlihat dalam tabel 1.4 dibawah:</w:t>
      </w:r>
    </w:p>
    <w:p w:rsidR="007335FD" w:rsidRDefault="00815898">
      <w:pPr>
        <w:pStyle w:val="NoSpacing"/>
        <w:jc w:val="center"/>
        <w:rPr>
          <w:b/>
          <w:bCs/>
          <w:sz w:val="24"/>
          <w:szCs w:val="24"/>
        </w:rPr>
      </w:pPr>
      <w:proofErr w:type="gramStart"/>
      <w:r>
        <w:rPr>
          <w:b/>
          <w:bCs/>
          <w:sz w:val="24"/>
          <w:szCs w:val="24"/>
        </w:rPr>
        <w:t>Tabel 1.5.</w:t>
      </w:r>
      <w:proofErr w:type="gramEnd"/>
      <w:r>
        <w:rPr>
          <w:b/>
          <w:bCs/>
          <w:sz w:val="24"/>
          <w:szCs w:val="24"/>
        </w:rPr>
        <w:t xml:space="preserve"> Daftar Kendaraan Dinas</w:t>
      </w:r>
    </w:p>
    <w:p w:rsidR="007335FD" w:rsidRDefault="00815898">
      <w:pPr>
        <w:pStyle w:val="NoSpacing"/>
        <w:jc w:val="center"/>
        <w:rPr>
          <w:b/>
          <w:bCs/>
          <w:sz w:val="24"/>
          <w:szCs w:val="24"/>
        </w:rPr>
      </w:pPr>
      <w:r>
        <w:rPr>
          <w:b/>
          <w:bCs/>
          <w:sz w:val="24"/>
          <w:szCs w:val="24"/>
        </w:rPr>
        <w:t>Badan Kesbangpol Provinsi Sumatera Barat</w:t>
      </w:r>
    </w:p>
    <w:p w:rsidR="007335FD" w:rsidRDefault="007335FD">
      <w:pPr>
        <w:pStyle w:val="NoSpacing"/>
        <w:jc w:val="center"/>
        <w:rPr>
          <w:b/>
          <w:bCs/>
          <w:sz w:val="24"/>
          <w:szCs w:val="24"/>
        </w:rPr>
      </w:pPr>
    </w:p>
    <w:tbl>
      <w:tblPr>
        <w:tblW w:w="7141" w:type="dxa"/>
        <w:jc w:val="center"/>
        <w:tblInd w:w="7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1"/>
        <w:gridCol w:w="1704"/>
        <w:gridCol w:w="2674"/>
      </w:tblGrid>
      <w:tr w:rsidR="007335FD">
        <w:trPr>
          <w:jc w:val="center"/>
        </w:trPr>
        <w:tc>
          <w:tcPr>
            <w:tcW w:w="562" w:type="dxa"/>
            <w:shd w:val="clear" w:color="auto" w:fill="C00000"/>
            <w:vAlign w:val="center"/>
          </w:tcPr>
          <w:p w:rsidR="007335FD" w:rsidRDefault="00815898">
            <w:pPr>
              <w:pStyle w:val="NoSpacing"/>
              <w:jc w:val="center"/>
              <w:rPr>
                <w:b/>
                <w:bCs/>
                <w:sz w:val="24"/>
                <w:szCs w:val="24"/>
              </w:rPr>
            </w:pPr>
            <w:r>
              <w:rPr>
                <w:b/>
                <w:bCs/>
                <w:sz w:val="24"/>
                <w:szCs w:val="24"/>
              </w:rPr>
              <w:t>No</w:t>
            </w:r>
          </w:p>
        </w:tc>
        <w:tc>
          <w:tcPr>
            <w:tcW w:w="2201" w:type="dxa"/>
            <w:shd w:val="clear" w:color="auto" w:fill="C00000"/>
            <w:vAlign w:val="center"/>
          </w:tcPr>
          <w:p w:rsidR="007335FD" w:rsidRDefault="00815898">
            <w:pPr>
              <w:pStyle w:val="NoSpacing"/>
              <w:jc w:val="center"/>
              <w:rPr>
                <w:b/>
                <w:bCs/>
                <w:sz w:val="24"/>
                <w:szCs w:val="24"/>
              </w:rPr>
            </w:pPr>
            <w:r>
              <w:rPr>
                <w:b/>
                <w:bCs/>
                <w:sz w:val="24"/>
                <w:szCs w:val="24"/>
              </w:rPr>
              <w:t>Jenis Kendaraan</w:t>
            </w:r>
          </w:p>
        </w:tc>
        <w:tc>
          <w:tcPr>
            <w:tcW w:w="1704" w:type="dxa"/>
            <w:shd w:val="clear" w:color="auto" w:fill="C00000"/>
            <w:vAlign w:val="center"/>
          </w:tcPr>
          <w:p w:rsidR="007335FD" w:rsidRDefault="00815898">
            <w:pPr>
              <w:pStyle w:val="NoSpacing"/>
              <w:jc w:val="center"/>
              <w:rPr>
                <w:b/>
                <w:bCs/>
                <w:sz w:val="24"/>
                <w:szCs w:val="24"/>
              </w:rPr>
            </w:pPr>
            <w:r>
              <w:rPr>
                <w:b/>
                <w:bCs/>
                <w:sz w:val="24"/>
                <w:szCs w:val="24"/>
              </w:rPr>
              <w:t>Merk</w:t>
            </w:r>
          </w:p>
        </w:tc>
        <w:tc>
          <w:tcPr>
            <w:tcW w:w="2674" w:type="dxa"/>
            <w:shd w:val="clear" w:color="auto" w:fill="C00000"/>
            <w:vAlign w:val="center"/>
          </w:tcPr>
          <w:p w:rsidR="007335FD" w:rsidRDefault="00815898">
            <w:pPr>
              <w:pStyle w:val="NoSpacing"/>
              <w:jc w:val="center"/>
              <w:rPr>
                <w:b/>
                <w:bCs/>
                <w:sz w:val="24"/>
                <w:szCs w:val="24"/>
              </w:rPr>
            </w:pPr>
            <w:r>
              <w:rPr>
                <w:b/>
                <w:bCs/>
                <w:sz w:val="24"/>
                <w:szCs w:val="24"/>
              </w:rPr>
              <w:t>Dipergunakan Untuk</w:t>
            </w:r>
          </w:p>
        </w:tc>
      </w:tr>
      <w:tr w:rsidR="007335FD">
        <w:trPr>
          <w:trHeight w:val="320"/>
          <w:jc w:val="center"/>
        </w:trPr>
        <w:tc>
          <w:tcPr>
            <w:tcW w:w="562" w:type="dxa"/>
          </w:tcPr>
          <w:p w:rsidR="007335FD" w:rsidRDefault="00815898">
            <w:pPr>
              <w:pStyle w:val="NoSpacing"/>
              <w:rPr>
                <w:sz w:val="24"/>
                <w:szCs w:val="24"/>
              </w:rPr>
            </w:pPr>
            <w:r>
              <w:rPr>
                <w:sz w:val="24"/>
                <w:szCs w:val="24"/>
              </w:rPr>
              <w:t>1</w:t>
            </w:r>
          </w:p>
        </w:tc>
        <w:tc>
          <w:tcPr>
            <w:tcW w:w="2201" w:type="dxa"/>
          </w:tcPr>
          <w:p w:rsidR="007335FD" w:rsidRDefault="00815898">
            <w:pPr>
              <w:pStyle w:val="NoSpacing"/>
              <w:rPr>
                <w:sz w:val="24"/>
                <w:szCs w:val="24"/>
              </w:rPr>
            </w:pPr>
            <w:r>
              <w:rPr>
                <w:sz w:val="24"/>
                <w:szCs w:val="24"/>
              </w:rPr>
              <w:t>Sepeda Motor</w:t>
            </w:r>
          </w:p>
          <w:p w:rsidR="007335FD" w:rsidRDefault="007335FD">
            <w:pPr>
              <w:pStyle w:val="NoSpacing"/>
              <w:rPr>
                <w:sz w:val="24"/>
                <w:szCs w:val="24"/>
              </w:rPr>
            </w:pPr>
          </w:p>
        </w:tc>
        <w:tc>
          <w:tcPr>
            <w:tcW w:w="1704" w:type="dxa"/>
          </w:tcPr>
          <w:p w:rsidR="007335FD" w:rsidRDefault="00815898">
            <w:pPr>
              <w:pStyle w:val="NoSpacing"/>
              <w:rPr>
                <w:sz w:val="24"/>
                <w:szCs w:val="24"/>
              </w:rPr>
            </w:pPr>
            <w:r>
              <w:rPr>
                <w:sz w:val="24"/>
                <w:szCs w:val="24"/>
              </w:rPr>
              <w:t>Supra X</w:t>
            </w:r>
          </w:p>
        </w:tc>
        <w:tc>
          <w:tcPr>
            <w:tcW w:w="2674" w:type="dxa"/>
          </w:tcPr>
          <w:p w:rsidR="007335FD" w:rsidRDefault="00815898">
            <w:pPr>
              <w:pStyle w:val="NoSpacing"/>
              <w:rPr>
                <w:sz w:val="24"/>
                <w:szCs w:val="24"/>
              </w:rPr>
            </w:pPr>
            <w:r>
              <w:rPr>
                <w:sz w:val="24"/>
                <w:szCs w:val="24"/>
              </w:rPr>
              <w:t>Operasional Administrasi</w:t>
            </w:r>
          </w:p>
        </w:tc>
      </w:tr>
      <w:tr w:rsidR="007335FD">
        <w:trPr>
          <w:trHeight w:val="90"/>
          <w:jc w:val="center"/>
        </w:trPr>
        <w:tc>
          <w:tcPr>
            <w:tcW w:w="562" w:type="dxa"/>
          </w:tcPr>
          <w:p w:rsidR="007335FD" w:rsidRDefault="00815898">
            <w:pPr>
              <w:pStyle w:val="NoSpacing"/>
              <w:rPr>
                <w:sz w:val="24"/>
                <w:szCs w:val="24"/>
              </w:rPr>
            </w:pPr>
            <w:r>
              <w:rPr>
                <w:sz w:val="24"/>
                <w:szCs w:val="24"/>
              </w:rPr>
              <w:t>2</w:t>
            </w:r>
          </w:p>
        </w:tc>
        <w:tc>
          <w:tcPr>
            <w:tcW w:w="2201" w:type="dxa"/>
          </w:tcPr>
          <w:p w:rsidR="007335FD" w:rsidRDefault="00815898">
            <w:pPr>
              <w:pStyle w:val="NoSpacing"/>
              <w:rPr>
                <w:sz w:val="24"/>
                <w:szCs w:val="24"/>
              </w:rPr>
            </w:pPr>
            <w:r>
              <w:rPr>
                <w:sz w:val="24"/>
                <w:szCs w:val="24"/>
              </w:rPr>
              <w:t>Sepeda Motor</w:t>
            </w:r>
          </w:p>
        </w:tc>
        <w:tc>
          <w:tcPr>
            <w:tcW w:w="1704" w:type="dxa"/>
          </w:tcPr>
          <w:p w:rsidR="007335FD" w:rsidRDefault="00815898">
            <w:pPr>
              <w:pStyle w:val="NoSpacing"/>
              <w:rPr>
                <w:sz w:val="24"/>
                <w:szCs w:val="24"/>
              </w:rPr>
            </w:pPr>
            <w:r>
              <w:rPr>
                <w:sz w:val="24"/>
                <w:szCs w:val="24"/>
              </w:rPr>
              <w:t>Vario</w:t>
            </w:r>
          </w:p>
        </w:tc>
        <w:tc>
          <w:tcPr>
            <w:tcW w:w="2674" w:type="dxa"/>
          </w:tcPr>
          <w:p w:rsidR="007335FD" w:rsidRDefault="00815898">
            <w:pPr>
              <w:pStyle w:val="NoSpacing"/>
              <w:rPr>
                <w:sz w:val="24"/>
                <w:szCs w:val="24"/>
              </w:rPr>
            </w:pPr>
            <w:r>
              <w:rPr>
                <w:sz w:val="24"/>
                <w:szCs w:val="24"/>
              </w:rPr>
              <w:t>Operasional Administrasi</w:t>
            </w:r>
          </w:p>
        </w:tc>
      </w:tr>
      <w:tr w:rsidR="007335FD">
        <w:trPr>
          <w:jc w:val="center"/>
        </w:trPr>
        <w:tc>
          <w:tcPr>
            <w:tcW w:w="562" w:type="dxa"/>
          </w:tcPr>
          <w:p w:rsidR="007335FD" w:rsidRDefault="00815898">
            <w:pPr>
              <w:pStyle w:val="NoSpacing"/>
              <w:rPr>
                <w:sz w:val="24"/>
                <w:szCs w:val="24"/>
              </w:rPr>
            </w:pPr>
            <w:r>
              <w:rPr>
                <w:sz w:val="24"/>
                <w:szCs w:val="24"/>
              </w:rPr>
              <w:t>3</w:t>
            </w:r>
          </w:p>
        </w:tc>
        <w:tc>
          <w:tcPr>
            <w:tcW w:w="2201" w:type="dxa"/>
          </w:tcPr>
          <w:p w:rsidR="007335FD" w:rsidRDefault="00815898">
            <w:pPr>
              <w:pStyle w:val="NoSpacing"/>
              <w:rPr>
                <w:sz w:val="24"/>
                <w:szCs w:val="24"/>
              </w:rPr>
            </w:pPr>
            <w:r>
              <w:rPr>
                <w:sz w:val="24"/>
                <w:szCs w:val="24"/>
              </w:rPr>
              <w:t>Mobil</w:t>
            </w:r>
          </w:p>
        </w:tc>
        <w:tc>
          <w:tcPr>
            <w:tcW w:w="1704" w:type="dxa"/>
          </w:tcPr>
          <w:p w:rsidR="007335FD" w:rsidRDefault="00815898">
            <w:pPr>
              <w:pStyle w:val="NoSpacing"/>
              <w:rPr>
                <w:sz w:val="24"/>
                <w:szCs w:val="24"/>
              </w:rPr>
            </w:pPr>
            <w:r>
              <w:rPr>
                <w:sz w:val="24"/>
                <w:szCs w:val="24"/>
              </w:rPr>
              <w:t xml:space="preserve">Pajero </w:t>
            </w:r>
          </w:p>
        </w:tc>
        <w:tc>
          <w:tcPr>
            <w:tcW w:w="2674" w:type="dxa"/>
          </w:tcPr>
          <w:p w:rsidR="007335FD" w:rsidRDefault="00815898">
            <w:pPr>
              <w:pStyle w:val="NoSpacing"/>
              <w:jc w:val="left"/>
              <w:rPr>
                <w:sz w:val="24"/>
                <w:szCs w:val="24"/>
              </w:rPr>
            </w:pPr>
            <w:r>
              <w:rPr>
                <w:sz w:val="24"/>
                <w:szCs w:val="24"/>
              </w:rPr>
              <w:t>Operasional Kepala Badan</w:t>
            </w:r>
          </w:p>
        </w:tc>
      </w:tr>
      <w:tr w:rsidR="007335FD">
        <w:trPr>
          <w:trHeight w:val="292"/>
          <w:jc w:val="center"/>
        </w:trPr>
        <w:tc>
          <w:tcPr>
            <w:tcW w:w="562" w:type="dxa"/>
          </w:tcPr>
          <w:p w:rsidR="007335FD" w:rsidRDefault="00815898">
            <w:pPr>
              <w:pStyle w:val="NoSpacing"/>
              <w:rPr>
                <w:sz w:val="24"/>
                <w:szCs w:val="24"/>
              </w:rPr>
            </w:pPr>
            <w:r>
              <w:rPr>
                <w:sz w:val="24"/>
                <w:szCs w:val="24"/>
              </w:rPr>
              <w:t>4</w:t>
            </w:r>
          </w:p>
        </w:tc>
        <w:tc>
          <w:tcPr>
            <w:tcW w:w="2201" w:type="dxa"/>
          </w:tcPr>
          <w:p w:rsidR="007335FD" w:rsidRDefault="00815898">
            <w:pPr>
              <w:pStyle w:val="NoSpacing"/>
              <w:rPr>
                <w:sz w:val="24"/>
                <w:szCs w:val="24"/>
              </w:rPr>
            </w:pPr>
            <w:r>
              <w:rPr>
                <w:sz w:val="24"/>
                <w:szCs w:val="24"/>
              </w:rPr>
              <w:t>Mobil</w:t>
            </w:r>
          </w:p>
        </w:tc>
        <w:tc>
          <w:tcPr>
            <w:tcW w:w="1704" w:type="dxa"/>
          </w:tcPr>
          <w:p w:rsidR="007335FD" w:rsidRDefault="00815898">
            <w:pPr>
              <w:pStyle w:val="NoSpacing"/>
              <w:rPr>
                <w:sz w:val="24"/>
                <w:szCs w:val="24"/>
              </w:rPr>
            </w:pPr>
            <w:r>
              <w:rPr>
                <w:sz w:val="24"/>
                <w:szCs w:val="24"/>
              </w:rPr>
              <w:t>Innova</w:t>
            </w:r>
          </w:p>
        </w:tc>
        <w:tc>
          <w:tcPr>
            <w:tcW w:w="2674" w:type="dxa"/>
          </w:tcPr>
          <w:p w:rsidR="007335FD" w:rsidRDefault="00815898">
            <w:pPr>
              <w:pStyle w:val="NoSpacing"/>
              <w:rPr>
                <w:sz w:val="24"/>
                <w:szCs w:val="24"/>
              </w:rPr>
            </w:pPr>
            <w:r>
              <w:rPr>
                <w:sz w:val="24"/>
                <w:szCs w:val="24"/>
              </w:rPr>
              <w:t>Operasional Administrasi</w:t>
            </w:r>
          </w:p>
        </w:tc>
      </w:tr>
      <w:tr w:rsidR="007335FD">
        <w:trPr>
          <w:jc w:val="center"/>
        </w:trPr>
        <w:tc>
          <w:tcPr>
            <w:tcW w:w="562" w:type="dxa"/>
          </w:tcPr>
          <w:p w:rsidR="007335FD" w:rsidRDefault="00815898">
            <w:pPr>
              <w:pStyle w:val="NoSpacing"/>
              <w:rPr>
                <w:sz w:val="24"/>
                <w:szCs w:val="24"/>
              </w:rPr>
            </w:pPr>
            <w:r>
              <w:rPr>
                <w:sz w:val="24"/>
                <w:szCs w:val="24"/>
              </w:rPr>
              <w:t>5</w:t>
            </w:r>
          </w:p>
        </w:tc>
        <w:tc>
          <w:tcPr>
            <w:tcW w:w="2201" w:type="dxa"/>
          </w:tcPr>
          <w:p w:rsidR="007335FD" w:rsidRDefault="00815898">
            <w:pPr>
              <w:pStyle w:val="NoSpacing"/>
              <w:rPr>
                <w:sz w:val="24"/>
                <w:szCs w:val="24"/>
              </w:rPr>
            </w:pPr>
            <w:r>
              <w:rPr>
                <w:sz w:val="24"/>
                <w:szCs w:val="24"/>
              </w:rPr>
              <w:t>Mobil</w:t>
            </w:r>
          </w:p>
        </w:tc>
        <w:tc>
          <w:tcPr>
            <w:tcW w:w="1704" w:type="dxa"/>
          </w:tcPr>
          <w:p w:rsidR="007335FD" w:rsidRDefault="00815898">
            <w:pPr>
              <w:pStyle w:val="NoSpacing"/>
              <w:rPr>
                <w:sz w:val="24"/>
                <w:szCs w:val="24"/>
              </w:rPr>
            </w:pPr>
            <w:r>
              <w:rPr>
                <w:sz w:val="24"/>
                <w:szCs w:val="24"/>
              </w:rPr>
              <w:t>Isuzu Panther</w:t>
            </w:r>
          </w:p>
        </w:tc>
        <w:tc>
          <w:tcPr>
            <w:tcW w:w="2674" w:type="dxa"/>
          </w:tcPr>
          <w:p w:rsidR="007335FD" w:rsidRDefault="00815898">
            <w:pPr>
              <w:pStyle w:val="NoSpacing"/>
              <w:rPr>
                <w:sz w:val="24"/>
                <w:szCs w:val="24"/>
              </w:rPr>
            </w:pPr>
            <w:r>
              <w:rPr>
                <w:sz w:val="24"/>
                <w:szCs w:val="24"/>
              </w:rPr>
              <w:t>Operasional Administrasi</w:t>
            </w:r>
          </w:p>
        </w:tc>
      </w:tr>
      <w:tr w:rsidR="007335FD">
        <w:trPr>
          <w:jc w:val="center"/>
        </w:trPr>
        <w:tc>
          <w:tcPr>
            <w:tcW w:w="562" w:type="dxa"/>
          </w:tcPr>
          <w:p w:rsidR="007335FD" w:rsidRDefault="00815898">
            <w:pPr>
              <w:pStyle w:val="NoSpacing"/>
              <w:rPr>
                <w:sz w:val="24"/>
                <w:szCs w:val="24"/>
              </w:rPr>
            </w:pPr>
            <w:r>
              <w:rPr>
                <w:sz w:val="24"/>
                <w:szCs w:val="24"/>
              </w:rPr>
              <w:t>6</w:t>
            </w:r>
          </w:p>
        </w:tc>
        <w:tc>
          <w:tcPr>
            <w:tcW w:w="2201" w:type="dxa"/>
          </w:tcPr>
          <w:p w:rsidR="007335FD" w:rsidRDefault="00815898">
            <w:pPr>
              <w:pStyle w:val="NoSpacing"/>
              <w:rPr>
                <w:sz w:val="24"/>
                <w:szCs w:val="24"/>
              </w:rPr>
            </w:pPr>
            <w:r>
              <w:rPr>
                <w:sz w:val="24"/>
                <w:szCs w:val="24"/>
              </w:rPr>
              <w:t>Mobil</w:t>
            </w:r>
          </w:p>
        </w:tc>
        <w:tc>
          <w:tcPr>
            <w:tcW w:w="1704" w:type="dxa"/>
          </w:tcPr>
          <w:p w:rsidR="007335FD" w:rsidRDefault="00815898">
            <w:pPr>
              <w:pStyle w:val="NoSpacing"/>
              <w:rPr>
                <w:sz w:val="24"/>
                <w:szCs w:val="24"/>
              </w:rPr>
            </w:pPr>
            <w:r>
              <w:rPr>
                <w:sz w:val="24"/>
                <w:szCs w:val="24"/>
              </w:rPr>
              <w:t>APV</w:t>
            </w:r>
          </w:p>
        </w:tc>
        <w:tc>
          <w:tcPr>
            <w:tcW w:w="2674" w:type="dxa"/>
          </w:tcPr>
          <w:p w:rsidR="007335FD" w:rsidRDefault="00815898">
            <w:pPr>
              <w:pStyle w:val="NoSpacing"/>
              <w:rPr>
                <w:sz w:val="24"/>
                <w:szCs w:val="24"/>
              </w:rPr>
            </w:pPr>
            <w:r>
              <w:rPr>
                <w:sz w:val="24"/>
                <w:szCs w:val="24"/>
              </w:rPr>
              <w:t>Operasional Administrasi</w:t>
            </w:r>
          </w:p>
        </w:tc>
      </w:tr>
      <w:tr w:rsidR="007335FD">
        <w:trPr>
          <w:jc w:val="center"/>
        </w:trPr>
        <w:tc>
          <w:tcPr>
            <w:tcW w:w="562" w:type="dxa"/>
          </w:tcPr>
          <w:p w:rsidR="007335FD" w:rsidRDefault="00815898">
            <w:pPr>
              <w:pStyle w:val="NoSpacing"/>
              <w:rPr>
                <w:sz w:val="24"/>
                <w:szCs w:val="24"/>
              </w:rPr>
            </w:pPr>
            <w:r>
              <w:rPr>
                <w:sz w:val="24"/>
                <w:szCs w:val="24"/>
              </w:rPr>
              <w:t>7</w:t>
            </w:r>
          </w:p>
        </w:tc>
        <w:tc>
          <w:tcPr>
            <w:tcW w:w="2201" w:type="dxa"/>
          </w:tcPr>
          <w:p w:rsidR="007335FD" w:rsidRDefault="00815898">
            <w:pPr>
              <w:pStyle w:val="NoSpacing"/>
              <w:rPr>
                <w:sz w:val="24"/>
                <w:szCs w:val="24"/>
              </w:rPr>
            </w:pPr>
            <w:r>
              <w:rPr>
                <w:sz w:val="24"/>
                <w:szCs w:val="24"/>
              </w:rPr>
              <w:t>Mobil</w:t>
            </w:r>
          </w:p>
        </w:tc>
        <w:tc>
          <w:tcPr>
            <w:tcW w:w="1704" w:type="dxa"/>
          </w:tcPr>
          <w:p w:rsidR="007335FD" w:rsidRDefault="00815898">
            <w:pPr>
              <w:pStyle w:val="NoSpacing"/>
              <w:rPr>
                <w:sz w:val="24"/>
                <w:szCs w:val="24"/>
              </w:rPr>
            </w:pPr>
            <w:r>
              <w:rPr>
                <w:sz w:val="24"/>
                <w:szCs w:val="24"/>
              </w:rPr>
              <w:t>Ford Everest</w:t>
            </w:r>
          </w:p>
        </w:tc>
        <w:tc>
          <w:tcPr>
            <w:tcW w:w="2674" w:type="dxa"/>
          </w:tcPr>
          <w:p w:rsidR="007335FD" w:rsidRDefault="00815898">
            <w:pPr>
              <w:pStyle w:val="NoSpacing"/>
              <w:rPr>
                <w:sz w:val="24"/>
                <w:szCs w:val="24"/>
              </w:rPr>
            </w:pPr>
            <w:r>
              <w:rPr>
                <w:sz w:val="24"/>
                <w:szCs w:val="24"/>
              </w:rPr>
              <w:t>Operasional Administrasi</w:t>
            </w:r>
          </w:p>
        </w:tc>
      </w:tr>
    </w:tbl>
    <w:p w:rsidR="007335FD" w:rsidRDefault="00815898">
      <w:pPr>
        <w:spacing w:line="480" w:lineRule="auto"/>
        <w:ind w:left="720" w:right="-21"/>
        <w:jc w:val="both"/>
        <w:rPr>
          <w:rFonts w:ascii="Tahoma" w:hAnsi="Tahoma" w:cs="Tahoma"/>
          <w:i/>
          <w:sz w:val="20"/>
          <w:szCs w:val="20"/>
        </w:rPr>
      </w:pPr>
      <w:r>
        <w:rPr>
          <w:rFonts w:ascii="Tahoma" w:hAnsi="Tahoma" w:cs="Tahoma"/>
        </w:rPr>
        <w:t xml:space="preserve">   </w:t>
      </w:r>
      <w:proofErr w:type="gramStart"/>
      <w:r>
        <w:rPr>
          <w:rFonts w:ascii="Tahoma" w:hAnsi="Tahoma" w:cs="Tahoma"/>
          <w:i/>
          <w:sz w:val="20"/>
          <w:szCs w:val="20"/>
        </w:rPr>
        <w:t>Sumber :</w:t>
      </w:r>
      <w:proofErr w:type="gramEnd"/>
      <w:r>
        <w:rPr>
          <w:rFonts w:ascii="Tahoma" w:hAnsi="Tahoma" w:cs="Tahoma"/>
          <w:i/>
          <w:sz w:val="20"/>
          <w:szCs w:val="20"/>
        </w:rPr>
        <w:t xml:space="preserve"> Data asset Badan Kesbangpol Tahun 2018</w:t>
      </w:r>
      <w:r>
        <w:rPr>
          <w:rFonts w:ascii="Tahoma" w:hAnsi="Tahoma" w:cs="Tahoma"/>
          <w:i/>
          <w:sz w:val="20"/>
          <w:szCs w:val="20"/>
        </w:rPr>
        <w:tab/>
      </w: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lastRenderedPageBreak/>
        <w:pict>
          <v:shape id="_x0000_s1028" type="#_x0000_t32" style="position:absolute;left:0;text-align:left;margin-left:-2.85pt;margin-top:18.65pt;width:462.7pt;height:0;z-index:251866112;mso-width-relative:page;mso-height-relative:page" strokecolor="#c00000" strokeweight="4.5pt"/>
        </w:pict>
      </w:r>
      <w:r w:rsidR="00815898">
        <w:rPr>
          <w:rFonts w:ascii="Segoe UI Black" w:hAnsi="Segoe UI Black" w:cs="Segoe UI Black"/>
          <w:b/>
          <w:bCs/>
          <w:sz w:val="24"/>
          <w:szCs w:val="24"/>
        </w:rPr>
        <w:t>1.4. Dasar Hukum Penyusunan Laporan Kinerja</w:t>
      </w:r>
    </w:p>
    <w:p w:rsidR="007335FD" w:rsidRDefault="00815898">
      <w:pPr>
        <w:pStyle w:val="ListParagraph"/>
        <w:tabs>
          <w:tab w:val="left" w:pos="567"/>
        </w:tabs>
        <w:spacing w:line="360" w:lineRule="auto"/>
        <w:ind w:left="0" w:right="-21"/>
        <w:jc w:val="both"/>
        <w:rPr>
          <w:rFonts w:eastAsia="Calibri" w:hAnsi="Tahoma" w:cs="Tahoma"/>
          <w:bCs/>
          <w:spacing w:val="-6"/>
          <w:sz w:val="24"/>
          <w:szCs w:val="24"/>
          <w:highlight w:val="yellow"/>
        </w:rPr>
      </w:pPr>
      <w:r>
        <w:rPr>
          <w:rFonts w:ascii="Tahoma" w:eastAsia="Calibri" w:hAnsi="Tahoma" w:cs="Tahoma"/>
          <w:bCs/>
          <w:spacing w:val="-6"/>
        </w:rPr>
        <w:tab/>
      </w:r>
      <w:r>
        <w:rPr>
          <w:rFonts w:eastAsia="Calibri" w:hAnsi="Tahoma" w:cs="Tahoma"/>
          <w:bCs/>
          <w:spacing w:val="-6"/>
          <w:sz w:val="24"/>
          <w:szCs w:val="24"/>
        </w:rPr>
        <w:t>Dasar hukum penyusunan Laporan Kinerja Badan Kesbangpol Provinsi Sumatera Barat tahun 2018 adalah sebagai berikut:</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eastAsia="Calibri" w:hAnsi="Tahoma" w:cs="Tahoma"/>
          <w:bCs/>
          <w:sz w:val="24"/>
          <w:szCs w:val="24"/>
        </w:rPr>
        <w:t xml:space="preserve">Undang-Undang Nomor 28 tahun 1999 Penyelenggaraan Negara yang bersih dan bebas dari </w:t>
      </w:r>
      <w:r>
        <w:rPr>
          <w:rFonts w:cs="Aparajita"/>
          <w:color w:val="000000" w:themeColor="text1"/>
          <w:sz w:val="24"/>
          <w:szCs w:val="24"/>
        </w:rPr>
        <w:t>Korupsi, Kolusi dan Nepotisme;</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eastAsia="Calibri" w:hAnsi="Tahoma" w:cs="Tahoma"/>
          <w:bCs/>
          <w:sz w:val="24"/>
          <w:szCs w:val="24"/>
        </w:rPr>
        <w:t>Undang-undang Nomor 23 tahun  2014 jo Undang-Undang nomor 9 tahun 2015 tentang Pemerintahan Daerah;</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eastAsia="Calibri" w:hAnsi="Tahoma" w:cs="Tahoma"/>
          <w:bCs/>
          <w:sz w:val="24"/>
          <w:szCs w:val="24"/>
        </w:rPr>
        <w:t>Peraturan Presiden (Perpres) Republik Indonesia Nomor 29 Tahun 2014 tentang Sistem Akuntabilitas Kinerja Instansi Pemerintah (SAKIP);</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cs="Aparajita"/>
          <w:color w:val="000000" w:themeColor="text1"/>
          <w:sz w:val="24"/>
          <w:szCs w:val="24"/>
        </w:rPr>
        <w:t>Intruksi Presiden Nomor 7 Tahun 1999 tentang Akuntabilitas Kinerja Instansi Pemerintah</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eastAsia="Calibri" w:hAnsi="Tahoma" w:cs="Tahoma"/>
          <w:bCs/>
          <w:sz w:val="24"/>
          <w:szCs w:val="24"/>
        </w:rPr>
        <w:t>Peraturan Menteri PAN dan RB Nomor 53 Tahun 2014 tentang Petunjuk Teknis Perjanjian kinerja, Pelaporan kinerja dan Tata Cara Reviu atas Laporan Kinerja Instansi Pemerintah;</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eastAsia="Calibri" w:hAnsi="Tahoma" w:cs="Tahoma"/>
          <w:bCs/>
          <w:sz w:val="24"/>
          <w:szCs w:val="24"/>
        </w:rPr>
        <w:t>Peraturan Menteri PAN dan RB Nomor 12 Tahun 2015 tentang Pedoman Evaluasi atas Implementasi Sistem Akuntabilitas Kinerja Instansi Pemerintah (SAKIP);</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cs="Aparajita"/>
          <w:color w:val="000000" w:themeColor="text1"/>
          <w:sz w:val="24"/>
          <w:szCs w:val="24"/>
        </w:rPr>
      </w:pPr>
      <w:r>
        <w:rPr>
          <w:rFonts w:eastAsia="Calibri" w:hAnsi="Tahoma" w:cs="Tahoma"/>
          <w:bCs/>
          <w:sz w:val="24"/>
          <w:szCs w:val="24"/>
        </w:rPr>
        <w:t>Peraturan Daerah Provinsi Sumatera Barat Nomor 8 Tahun 2016 tentang Pembentukan dan Susunan Perangkat Daerah Provinsi Sumatera Barat;</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cs="Aparajita"/>
          <w:color w:val="000000" w:themeColor="text1"/>
          <w:sz w:val="24"/>
          <w:szCs w:val="24"/>
        </w:rPr>
      </w:pPr>
      <w:r>
        <w:rPr>
          <w:rFonts w:eastAsia="Calibri" w:hAnsi="Tahoma" w:cs="Tahoma"/>
          <w:bCs/>
          <w:sz w:val="24"/>
          <w:szCs w:val="24"/>
        </w:rPr>
        <w:t>Peraturan Daerah Provinsi Sumatera Barat Nomor 15 Tahun 2018 tentang Perubahan Anggaran Pendapatan dan Belanja Daerah Tahun Anggaran 2018;</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cs="Aparajita"/>
          <w:color w:val="000000" w:themeColor="text1"/>
          <w:sz w:val="24"/>
          <w:szCs w:val="24"/>
        </w:rPr>
        <w:t>Peraturan Gubernur Sumatera Barat Nomor 65 Tahun 2012 tentang Pedoman Sistem Akuntabilitas Intansi Pemerintah di Lingkungan Pemerintah Provinsi Sumatera Barat.</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eastAsia="Calibri" w:hAnsi="Tahoma" w:cs="Tahoma"/>
          <w:bCs/>
          <w:sz w:val="24"/>
          <w:szCs w:val="24"/>
        </w:rPr>
        <w:t>Peraturan Gubernur Sumatera Barat Nomor 56 tahun 2018 tentang Penjabaran Perubahan Anggaran Pendapatan dan Belanja Daerah Tahun Anggaran 2018;</w:t>
      </w:r>
    </w:p>
    <w:p w:rsidR="007335FD" w:rsidRDefault="00815898">
      <w:pPr>
        <w:pStyle w:val="ListParagraph"/>
        <w:numPr>
          <w:ilvl w:val="3"/>
          <w:numId w:val="3"/>
        </w:numPr>
        <w:tabs>
          <w:tab w:val="left" w:pos="880"/>
        </w:tabs>
        <w:autoSpaceDE w:val="0"/>
        <w:autoSpaceDN w:val="0"/>
        <w:adjustRightInd w:val="0"/>
        <w:spacing w:after="0" w:line="360" w:lineRule="auto"/>
        <w:ind w:left="880" w:hanging="440"/>
        <w:jc w:val="both"/>
        <w:rPr>
          <w:rFonts w:eastAsia="Calibri" w:hAnsi="Tahoma" w:cs="Tahoma"/>
          <w:bCs/>
          <w:sz w:val="24"/>
          <w:szCs w:val="24"/>
        </w:rPr>
      </w:pPr>
      <w:r>
        <w:rPr>
          <w:rFonts w:cs="Tahoma"/>
          <w:sz w:val="24"/>
          <w:szCs w:val="24"/>
          <w:lang w:val="sv-SE"/>
        </w:rPr>
        <w:t xml:space="preserve">Peraturan Gubernur Sumatera Barat Nomor </w:t>
      </w:r>
      <w:r>
        <w:rPr>
          <w:rFonts w:cs="Tahoma"/>
          <w:sz w:val="24"/>
          <w:szCs w:val="24"/>
        </w:rPr>
        <w:t>37</w:t>
      </w:r>
      <w:r>
        <w:rPr>
          <w:rFonts w:cs="Tahoma"/>
          <w:sz w:val="24"/>
          <w:szCs w:val="24"/>
          <w:lang w:val="sv-SE"/>
        </w:rPr>
        <w:t xml:space="preserve"> Tahun 201</w:t>
      </w:r>
      <w:r>
        <w:rPr>
          <w:rFonts w:cs="Tahoma"/>
          <w:sz w:val="24"/>
          <w:szCs w:val="24"/>
        </w:rPr>
        <w:t>7</w:t>
      </w:r>
      <w:r>
        <w:rPr>
          <w:rFonts w:cs="Tahoma"/>
          <w:sz w:val="24"/>
          <w:szCs w:val="24"/>
          <w:lang w:val="sv-SE"/>
        </w:rPr>
        <w:t xml:space="preserve"> tentang </w:t>
      </w:r>
      <w:r>
        <w:rPr>
          <w:rFonts w:cs="Tahoma"/>
          <w:sz w:val="24"/>
          <w:szCs w:val="24"/>
        </w:rPr>
        <w:t xml:space="preserve">Uraian Tugas Pokok dan Fungsi </w:t>
      </w:r>
      <w:r>
        <w:rPr>
          <w:rFonts w:cs="Tahoma"/>
          <w:sz w:val="24"/>
          <w:szCs w:val="24"/>
          <w:lang w:val="sv-SE"/>
        </w:rPr>
        <w:t xml:space="preserve">Badan Kesatuan Bangsa dan Politik Provinsi </w:t>
      </w: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pict>
          <v:shape id="_x0000_s1032" type="#_x0000_t32" style="position:absolute;left:0;text-align:left;margin-left:1.05pt;margin-top:20.3pt;width:462.7pt;height:0;z-index:252492800;mso-width-relative:page;mso-height-relative:page" strokecolor="#c00000" strokeweight="4.5pt"/>
        </w:pict>
      </w:r>
      <w:r w:rsidR="00815898">
        <w:rPr>
          <w:rFonts w:ascii="Segoe UI Black" w:hAnsi="Segoe UI Black" w:cs="Segoe UI Black"/>
          <w:b/>
          <w:bCs/>
          <w:sz w:val="24"/>
          <w:szCs w:val="24"/>
        </w:rPr>
        <w:t>1.5 Isu Strategis</w:t>
      </w:r>
    </w:p>
    <w:p w:rsidR="007335FD" w:rsidRDefault="00815898">
      <w:pPr>
        <w:pStyle w:val="BodyTextIndent2"/>
        <w:ind w:left="440" w:firstLineChars="183" w:firstLine="439"/>
        <w:rPr>
          <w:rFonts w:hAnsi="Tahoma" w:cs="Tahoma"/>
          <w:sz w:val="24"/>
          <w:szCs w:val="24"/>
        </w:rPr>
      </w:pPr>
      <w:r>
        <w:rPr>
          <w:rFonts w:hAnsi="Tahoma" w:cs="Tahoma"/>
          <w:sz w:val="24"/>
          <w:szCs w:val="24"/>
        </w:rPr>
        <w:t xml:space="preserve">Dalam pelaksanaan tugas pokok dan fungsi Badan Kesatuan Bangsa dan Politik Provinsi Sumatera Barat, dijumpai beberapa isu-isu strategis yang berkembang saat ini, yaitu: </w:t>
      </w:r>
    </w:p>
    <w:p w:rsidR="007335FD" w:rsidRDefault="00815898">
      <w:pPr>
        <w:pStyle w:val="BodyTextIndent2"/>
        <w:numPr>
          <w:ilvl w:val="0"/>
          <w:numId w:val="4"/>
        </w:numPr>
        <w:tabs>
          <w:tab w:val="clear" w:pos="425"/>
        </w:tabs>
        <w:ind w:left="880"/>
        <w:rPr>
          <w:rFonts w:ascii="Calibri" w:eastAsia="SimSun" w:hAnsi="Palatino Linotype" w:cs="Palatino Linotype"/>
          <w:bCs/>
          <w:sz w:val="24"/>
          <w:szCs w:val="24"/>
          <w:lang w:val="sv-SE"/>
        </w:rPr>
      </w:pPr>
      <w:r>
        <w:rPr>
          <w:rFonts w:eastAsia="Calibri" w:hAnsi="Tahoma" w:cs="Tahoma"/>
          <w:bCs/>
          <w:sz w:val="24"/>
          <w:szCs w:val="24"/>
        </w:rPr>
        <w:lastRenderedPageBreak/>
        <w:t xml:space="preserve">  Masih banyaknya potensi konflik yang terjadi di Sumatera Barat khususnya </w:t>
      </w:r>
      <w:r>
        <w:rPr>
          <w:rFonts w:hAnsi="Book Antiqua" w:cs="Tahoma"/>
          <w:bCs/>
          <w:sz w:val="24"/>
          <w:szCs w:val="24"/>
        </w:rPr>
        <w:t>konflik yang berlatar belakang sengketa lahan, pertambangan/perkebunan/perhutanan, perbatasan antar da</w:t>
      </w:r>
      <w:r>
        <w:rPr>
          <w:rFonts w:hAnsi="Book Antiqua" w:cs="Tahoma"/>
          <w:bCs/>
          <w:sz w:val="24"/>
          <w:szCs w:val="24"/>
          <w:lang w:val="id-ID"/>
        </w:rPr>
        <w:t>e</w:t>
      </w:r>
      <w:r>
        <w:rPr>
          <w:rFonts w:hAnsi="Book Antiqua" w:cs="Tahoma"/>
          <w:bCs/>
          <w:sz w:val="24"/>
          <w:szCs w:val="24"/>
        </w:rPr>
        <w:t xml:space="preserve">rah, SARA, dan Pilkada. Sebagai institusi yang bertugas mendukung terciptanya keamanan daerah, Badan Kesbangpol Prov. Sumbar perlu meningkatkan peran dan fungsinya dalam mengawal stabilitas politik, ekonomi, sosial dan budaya. Badan Kesbangpol Prov. Sumbar perlu meningkatkan kepekaan, kewaspadaan dan kemampuan deteksi dini melalui pemetaan daerah rawan konflik agar potensi konflik yang muncul di daerah tidak berkembang menjadi konflik yang anarkis yang dapat mengganggu keamanan dan ketertiban masyarakat di Sumatera Barat. Selain itu, perlu koordinasi yang intensif dengan jajaran Forkopimda dan Tim Kominda Sumbar untuk mendukung terwujudnya keamanan dan kenyamanan lingkungan. </w:t>
      </w:r>
    </w:p>
    <w:p w:rsidR="007335FD" w:rsidRDefault="00815898">
      <w:pPr>
        <w:pStyle w:val="BodyTextIndent2"/>
        <w:numPr>
          <w:ilvl w:val="0"/>
          <w:numId w:val="4"/>
        </w:numPr>
        <w:tabs>
          <w:tab w:val="clear" w:pos="425"/>
        </w:tabs>
        <w:ind w:left="880"/>
        <w:rPr>
          <w:rFonts w:ascii="Calibri" w:eastAsia="SimSun" w:hAnsi="Palatino Linotype" w:cs="Palatino Linotype"/>
          <w:sz w:val="24"/>
          <w:szCs w:val="24"/>
          <w:lang w:val="sv-SE"/>
        </w:rPr>
      </w:pPr>
      <w:r>
        <w:rPr>
          <w:rFonts w:cs="Arial"/>
          <w:sz w:val="24"/>
          <w:szCs w:val="24"/>
        </w:rPr>
        <w:t xml:space="preserve">  Pelaksanaan Pemilu tahun 2019 merupakan persoalan politik yang perlu mendapat perhatian dari seluruh lapisan masyarakat. Untuk mendukung kelancaran dan kesuksesan Pemilu tahun 2019, perlu kesadaran dan pemahaman politik masyarakat untuk mewujudkan kehidupan demokrasi yang berkualitas khususnya di Sumatera Barat. Dalam rangka meningkatkan partisipasi masyarakat dan terwujudnya kondisi yang aman, tertib dan damai pada saat pelaksanaan Pemilu, peran Badan Kesatuan Bangsa dan Politik sangatlah strategis. Pendidikan politik merupakan salah satu upaya untuk meningkatkan angka partispasi masyarakat khususnya di Sumatera Barat dan hal ini merupakan salah satu tugas dan fungsi dari Badan Kesbangpol Prov.Sumbar. </w:t>
      </w:r>
    </w:p>
    <w:p w:rsidR="007335FD" w:rsidRDefault="00815898">
      <w:pPr>
        <w:pStyle w:val="BodyTextIndent2"/>
        <w:numPr>
          <w:ilvl w:val="0"/>
          <w:numId w:val="4"/>
        </w:numPr>
        <w:tabs>
          <w:tab w:val="clear" w:pos="425"/>
        </w:tabs>
        <w:ind w:left="880"/>
        <w:rPr>
          <w:rFonts w:ascii="Calibri" w:eastAsia="SimSun" w:hAnsi="Palatino Linotype" w:cs="Palatino Linotype"/>
          <w:bCs/>
          <w:sz w:val="24"/>
          <w:szCs w:val="24"/>
          <w:lang w:val="sv-SE"/>
        </w:rPr>
      </w:pPr>
      <w:r>
        <w:rPr>
          <w:rFonts w:hAnsi="Book Antiqua" w:cs="Tahoma"/>
          <w:bCs/>
          <w:sz w:val="24"/>
          <w:szCs w:val="24"/>
        </w:rPr>
        <w:t xml:space="preserve">  </w:t>
      </w:r>
      <w:r>
        <w:rPr>
          <w:rFonts w:hAnsi="Book Antiqua" w:cs="Tahoma"/>
          <w:bCs/>
          <w:sz w:val="24"/>
          <w:szCs w:val="24"/>
          <w:lang w:val="id-ID"/>
        </w:rPr>
        <w:t>Masih tingginya angka kriminalitas dan penyalahgunaan peredaran gelap narkoba di Sumbar khususnya daerah perkotaan.</w:t>
      </w:r>
      <w:r>
        <w:rPr>
          <w:rFonts w:hAnsi="Book Antiqua" w:cs="Tahoma"/>
          <w:bCs/>
          <w:sz w:val="24"/>
          <w:szCs w:val="24"/>
        </w:rPr>
        <w:t xml:space="preserve"> Untuk tahun 2018, tercatat 11.689 kasus kriminalitas terjadi di Sumbar. Untuk itu, perlu dilakukukan langkah-langkah dan upaya serius untuk mengurangi angka kriminalitas dan peredaran gelap narkoba di Sumbar. Badan Kesbangpol telah menyusun Perda No 9 Tahun 2018 tentang Fasilitasi Pencegahan Penyalahgunaan Narkotika, Psikotropika dan Zat Adiktif lainnya sebagai salah satu upaya untuk mencegah semakin tingginya penyalahgunaan narkoba di Sumbar. Selanjutnya, perlu dilakukan sosialisasi ke masyarakat khususnya generasi </w:t>
      </w:r>
      <w:r>
        <w:rPr>
          <w:rFonts w:hAnsi="Book Antiqua" w:cs="Tahoma"/>
          <w:bCs/>
          <w:sz w:val="24"/>
          <w:szCs w:val="24"/>
        </w:rPr>
        <w:lastRenderedPageBreak/>
        <w:t xml:space="preserve">muda secara menyeluruh untuk menumbuhkan kesadaran bagi masyarakat tentang bahaya penyalahgunaan narkoba. </w:t>
      </w:r>
    </w:p>
    <w:p w:rsidR="007335FD" w:rsidRDefault="00815898">
      <w:pPr>
        <w:pStyle w:val="BodyTextIndent2"/>
        <w:numPr>
          <w:ilvl w:val="0"/>
          <w:numId w:val="4"/>
        </w:numPr>
        <w:tabs>
          <w:tab w:val="clear" w:pos="425"/>
        </w:tabs>
        <w:ind w:left="880"/>
        <w:rPr>
          <w:rFonts w:eastAsia="SimSun" w:hAnsi="Palatino Linotype" w:cs="Palatino Linotype"/>
          <w:sz w:val="24"/>
          <w:szCs w:val="24"/>
          <w:lang w:val="sv-SE"/>
        </w:rPr>
      </w:pPr>
      <w:r>
        <w:rPr>
          <w:rFonts w:hAnsi="Book Antiqua" w:cs="Tahoma"/>
          <w:sz w:val="24"/>
          <w:szCs w:val="24"/>
        </w:rPr>
        <w:t xml:space="preserve">  </w:t>
      </w:r>
      <w:r>
        <w:rPr>
          <w:rFonts w:hAnsi="Book Antiqua" w:cs="Tahoma"/>
          <w:sz w:val="24"/>
          <w:szCs w:val="24"/>
          <w:lang w:val="id-ID"/>
        </w:rPr>
        <w:t xml:space="preserve">Maraknya isu </w:t>
      </w:r>
      <w:r>
        <w:rPr>
          <w:rFonts w:hAnsi="Book Antiqua" w:cs="Tahoma"/>
          <w:i/>
          <w:sz w:val="24"/>
          <w:szCs w:val="24"/>
          <w:lang w:val="id-ID"/>
        </w:rPr>
        <w:t>Lesbian, Gay, Bisexual, and Transgender (LGBT)</w:t>
      </w:r>
      <w:r>
        <w:rPr>
          <w:rFonts w:hAnsi="Book Antiqua" w:cs="Tahoma"/>
          <w:sz w:val="24"/>
          <w:szCs w:val="24"/>
          <w:lang w:val="id-ID"/>
        </w:rPr>
        <w:t xml:space="preserve"> yang melanda Sumatera Barat, yang terus dalam pemantauan Badan Kesbangpol Sumbar bersama jajaran terkait. Wakil Gubernur Sumbar menginstruksikan penerbitan Peraturan Daerah yang melarang aktivitas LGBT di Sumbar.</w:t>
      </w:r>
      <w:r>
        <w:rPr>
          <w:rFonts w:hAnsi="Book Antiqua" w:cs="Tahoma"/>
          <w:sz w:val="24"/>
          <w:szCs w:val="24"/>
        </w:rPr>
        <w:t xml:space="preserve"> Adapun data pelaku penyimpangan prilaku LGBT di Sumbar pada tahun 2018 tercatat sebanyak 14.469 orang.</w:t>
      </w:r>
    </w:p>
    <w:p w:rsidR="007335FD" w:rsidRDefault="00815898">
      <w:pPr>
        <w:pStyle w:val="BodyTextIndent2"/>
        <w:numPr>
          <w:ilvl w:val="0"/>
          <w:numId w:val="4"/>
        </w:numPr>
        <w:tabs>
          <w:tab w:val="clear" w:pos="425"/>
        </w:tabs>
        <w:ind w:left="880"/>
        <w:rPr>
          <w:rFonts w:eastAsia="SimSun" w:hAnsi="Palatino Linotype" w:cs="Palatino Linotype"/>
          <w:sz w:val="24"/>
          <w:szCs w:val="24"/>
          <w:lang w:val="sv-SE"/>
        </w:rPr>
      </w:pPr>
      <w:r>
        <w:rPr>
          <w:rFonts w:hAnsi="Book Antiqua" w:cs="Tahoma"/>
          <w:sz w:val="24"/>
          <w:szCs w:val="24"/>
        </w:rPr>
        <w:t xml:space="preserve">  Munculnya p</w:t>
      </w:r>
      <w:r>
        <w:rPr>
          <w:rFonts w:eastAsia="SimSun" w:hAnsi="Palatino Linotype" w:cs="Palatino Linotype"/>
          <w:sz w:val="24"/>
          <w:szCs w:val="24"/>
          <w:lang w:val="id-ID"/>
        </w:rPr>
        <w:t>ersoalan p</w:t>
      </w:r>
      <w:r>
        <w:rPr>
          <w:rFonts w:eastAsia="SimSun" w:hAnsi="Palatino Linotype" w:cs="Palatino Linotype"/>
          <w:sz w:val="24"/>
          <w:szCs w:val="24"/>
          <w:lang w:val="sv-SE"/>
        </w:rPr>
        <w:t>enyelenggaraan urusan pemerintahan bidang kesatuan bangsa dan politik didaerah pasca direvisinya undang undang tentang pemerintahan daerah.</w:t>
      </w:r>
    </w:p>
    <w:p w:rsidR="007335FD" w:rsidRDefault="00815898">
      <w:pPr>
        <w:spacing w:line="360" w:lineRule="auto"/>
        <w:ind w:left="880" w:firstLine="426"/>
        <w:jc w:val="both"/>
        <w:rPr>
          <w:rFonts w:eastAsia="SimSun" w:hAnsi="Palatino Linotype" w:cs="Palatino Linotype"/>
          <w:sz w:val="24"/>
          <w:szCs w:val="24"/>
          <w:lang w:val="id-ID"/>
        </w:rPr>
      </w:pPr>
      <w:r>
        <w:rPr>
          <w:rFonts w:eastAsia="SimSun" w:hAnsi="Palatino Linotype" w:cs="Palatino Linotype"/>
          <w:sz w:val="24"/>
          <w:szCs w:val="24"/>
          <w:lang w:val="sv-SE"/>
        </w:rPr>
        <w:t>Dengan diterbitkannya Undang Undang Nomor 23 Tahun 2014 tentang Pemerintahan Daerah, maka terjadi perubahan nomenklatur dan pembagian urusan khususnya pada bidang kesatuan bangsa dan politik dalam negeri.</w:t>
      </w:r>
      <w:r>
        <w:rPr>
          <w:rFonts w:eastAsia="SimSun" w:hAnsi="Palatino Linotype" w:cs="Palatino Linotype"/>
          <w:sz w:val="24"/>
          <w:szCs w:val="24"/>
        </w:rPr>
        <w:t xml:space="preserve"> </w:t>
      </w:r>
      <w:r>
        <w:rPr>
          <w:rFonts w:eastAsia="SimSun" w:hAnsi="Palatino Linotype" w:cs="Palatino Linotype"/>
          <w:sz w:val="24"/>
          <w:szCs w:val="24"/>
          <w:lang w:val="sv-SE"/>
        </w:rPr>
        <w:t xml:space="preserve">Urusan kesatuan bangsa dan politik dalam negeri yang sebelumnya </w:t>
      </w:r>
      <w:r>
        <w:rPr>
          <w:rFonts w:eastAsia="SimSun" w:hAnsi="Palatino Linotype" w:cs="Palatino Linotype"/>
          <w:sz w:val="24"/>
          <w:szCs w:val="24"/>
          <w:lang w:val="id-ID"/>
        </w:rPr>
        <w:t>merupakan urusan wajib</w:t>
      </w:r>
      <w:r>
        <w:rPr>
          <w:rFonts w:eastAsia="SimSun" w:hAnsi="Palatino Linotype" w:cs="Palatino Linotype"/>
          <w:sz w:val="24"/>
          <w:szCs w:val="24"/>
          <w:lang w:val="sv-SE"/>
        </w:rPr>
        <w:t xml:space="preserve"> pemerintah daerah, kedepannya akan menjadi urusan pemerintahan umum yang dilaksanakan oleh Gubernur dan Bupati/Walikota dengan dibantu </w:t>
      </w:r>
      <w:r>
        <w:rPr>
          <w:rFonts w:eastAsia="SimSun" w:hAnsi="Palatino Linotype" w:cs="Palatino Linotype"/>
          <w:sz w:val="24"/>
          <w:szCs w:val="24"/>
          <w:lang w:val="id-ID"/>
        </w:rPr>
        <w:t xml:space="preserve">sebuah </w:t>
      </w:r>
      <w:r>
        <w:rPr>
          <w:rFonts w:eastAsia="SimSun" w:hAnsi="Palatino Linotype" w:cs="Palatino Linotype"/>
          <w:sz w:val="24"/>
          <w:szCs w:val="24"/>
          <w:lang w:val="sv-SE"/>
        </w:rPr>
        <w:t>intansi vertikal, dengan pembiayaan dari APBN dan bertanggung jawab kepada Menteri Dalam Negeri</w:t>
      </w:r>
      <w:r>
        <w:rPr>
          <w:rFonts w:eastAsia="SimSun" w:hAnsi="Palatino Linotype" w:cs="Palatino Linotype"/>
          <w:sz w:val="24"/>
          <w:szCs w:val="24"/>
          <w:lang w:val="id-ID"/>
        </w:rPr>
        <w:t xml:space="preserve"> melalui Direktorat Jenderal Politik dan Pemerintahan Umum.</w:t>
      </w:r>
    </w:p>
    <w:p w:rsidR="007335FD" w:rsidRDefault="00815898">
      <w:pPr>
        <w:spacing w:line="360" w:lineRule="auto"/>
        <w:ind w:left="880" w:firstLine="426"/>
        <w:jc w:val="both"/>
        <w:rPr>
          <w:rFonts w:eastAsia="SimSun" w:hAnsi="Palatino Linotype" w:cs="Palatino Linotype"/>
          <w:sz w:val="24"/>
          <w:szCs w:val="24"/>
          <w:lang w:val="id-ID"/>
        </w:rPr>
      </w:pPr>
      <w:r>
        <w:rPr>
          <w:rFonts w:eastAsia="SimSun" w:hAnsi="Palatino Linotype" w:cs="Palatino Linotype"/>
          <w:sz w:val="24"/>
          <w:szCs w:val="24"/>
          <w:lang w:val="id-ID"/>
        </w:rPr>
        <w:t>Pasca diadakannya rapat terbatas kabinet dengan Presiden RI pada tanggal 30 Mei 2016, dikemukakan bahwa pengesahan Rancangan Peraturan Pemerintah (RPP) Tentang Pelaksanaan Urusan Pemerintahan Umum ditunda hingga batas waktu yang tidak ditentukan. Hal ini telah</w:t>
      </w:r>
      <w:r>
        <w:rPr>
          <w:rFonts w:eastAsia="SimSun" w:hAnsi="Palatino Linotype" w:cs="Palatino Linotype"/>
          <w:sz w:val="24"/>
          <w:szCs w:val="24"/>
        </w:rPr>
        <w:t xml:space="preserve"> </w:t>
      </w:r>
      <w:r>
        <w:rPr>
          <w:rFonts w:eastAsia="SimSun" w:hAnsi="Palatino Linotype" w:cs="Palatino Linotype"/>
          <w:sz w:val="24"/>
          <w:szCs w:val="24"/>
          <w:lang w:val="id-ID"/>
        </w:rPr>
        <w:t>menjadi persoalan tersendiri bagi instansi kesbangpol di daerah dalam melaksanakan tugas dan fungsinya. Kementerian Dalam Negeri telah mengeluarkan beberapa Instruksi maupun edaran kepada Gubernur dan Bupati/Walikota terkait dukungan terhadap pelaksanaan tugas</w:t>
      </w:r>
      <w:r>
        <w:rPr>
          <w:rFonts w:eastAsia="SimSun" w:hAnsi="Palatino Linotype" w:cs="Palatino Linotype"/>
          <w:sz w:val="24"/>
          <w:szCs w:val="24"/>
        </w:rPr>
        <w:t>-</w:t>
      </w:r>
      <w:r>
        <w:rPr>
          <w:rFonts w:eastAsia="SimSun" w:hAnsi="Palatino Linotype" w:cs="Palatino Linotype"/>
          <w:sz w:val="24"/>
          <w:szCs w:val="24"/>
          <w:lang w:val="id-ID"/>
        </w:rPr>
        <w:t>tugas dan fungsi Kesbangpol di daerah secara maksimal.</w:t>
      </w:r>
    </w:p>
    <w:p w:rsidR="007335FD" w:rsidRDefault="00815898">
      <w:pPr>
        <w:spacing w:line="360" w:lineRule="auto"/>
        <w:ind w:left="880" w:firstLine="426"/>
        <w:jc w:val="both"/>
        <w:rPr>
          <w:rFonts w:eastAsia="SimSun" w:hAnsi="Palatino Linotype" w:cs="Palatino Linotype"/>
          <w:sz w:val="24"/>
          <w:szCs w:val="24"/>
        </w:rPr>
      </w:pPr>
      <w:r>
        <w:rPr>
          <w:rFonts w:eastAsia="SimSun" w:hAnsi="Palatino Linotype" w:cs="Palatino Linotype"/>
          <w:sz w:val="24"/>
          <w:szCs w:val="24"/>
          <w:lang w:val="id-ID"/>
        </w:rPr>
        <w:t>Dalam waktu dekat, Kementerian Dalam Negeri akan menerbitkan sebuah Peraturan Menteri Dalam Negeri yang fokus pada pasal 122 tentang ketentuan peralihan pada PP Nomor 18 Tahun 2016 tentang Perangkat Daerah, untuk memaksimalkan peran instansi kesbangpol di daerah dalam masa peralihan.</w:t>
      </w: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lastRenderedPageBreak/>
        <w:pict>
          <v:shape id="_x0000_s1031" type="#_x0000_t32" style="position:absolute;left:0;text-align:left;margin-left:1.05pt;margin-top:18.6pt;width:462.7pt;height:0;z-index:252075008;mso-width-relative:page;mso-height-relative:page" strokecolor="#c00000" strokeweight="4.5pt"/>
        </w:pict>
      </w:r>
      <w:r w:rsidR="00815898">
        <w:rPr>
          <w:rFonts w:ascii="Segoe UI Black" w:hAnsi="Segoe UI Black" w:cs="Segoe UI Black"/>
          <w:b/>
          <w:bCs/>
          <w:sz w:val="24"/>
          <w:szCs w:val="24"/>
        </w:rPr>
        <w:t>1.6 Sistematika Penulisan</w:t>
      </w:r>
    </w:p>
    <w:p w:rsidR="007335FD" w:rsidRDefault="00815898">
      <w:pPr>
        <w:pStyle w:val="ListParagraph"/>
        <w:spacing w:line="360" w:lineRule="auto"/>
        <w:ind w:left="440" w:right="-21" w:firstLine="440"/>
        <w:jc w:val="both"/>
        <w:rPr>
          <w:rFonts w:eastAsia="Calibri" w:hAnsi="Tahoma" w:cs="Tahoma"/>
          <w:bCs/>
          <w:sz w:val="24"/>
          <w:szCs w:val="24"/>
        </w:rPr>
      </w:pPr>
      <w:proofErr w:type="gramStart"/>
      <w:r>
        <w:rPr>
          <w:rFonts w:eastAsia="Calibri" w:hAnsi="Tahoma" w:cs="Tahoma"/>
          <w:bCs/>
          <w:sz w:val="24"/>
          <w:szCs w:val="24"/>
        </w:rPr>
        <w:t xml:space="preserve">Pada dasarnya Laporan Kinerja ini mendeskripsikan pencapaian kinerja </w:t>
      </w:r>
      <w:r>
        <w:rPr>
          <w:rFonts w:hAnsi="Tahoma" w:cs="Tahoma"/>
          <w:sz w:val="24"/>
          <w:szCs w:val="24"/>
        </w:rPr>
        <w:t xml:space="preserve">Badan Kesatuan Bangsa dan Politik </w:t>
      </w:r>
      <w:r>
        <w:rPr>
          <w:rFonts w:eastAsia="Calibri" w:hAnsi="Tahoma" w:cs="Tahoma"/>
          <w:bCs/>
          <w:sz w:val="24"/>
          <w:szCs w:val="24"/>
        </w:rPr>
        <w:t>Provinsi Sumatera Barat selama Tahun 2018.</w:t>
      </w:r>
      <w:proofErr w:type="gramEnd"/>
      <w:r>
        <w:rPr>
          <w:rFonts w:eastAsia="Calibri" w:hAnsi="Tahoma" w:cs="Tahoma"/>
          <w:bCs/>
          <w:sz w:val="24"/>
          <w:szCs w:val="24"/>
        </w:rPr>
        <w:t xml:space="preserve"> Capaian Kinerja (</w:t>
      </w:r>
      <w:r>
        <w:rPr>
          <w:rFonts w:eastAsia="Calibri" w:hAnsi="Tahoma" w:cs="Tahoma"/>
          <w:bCs/>
          <w:i/>
          <w:sz w:val="24"/>
          <w:szCs w:val="24"/>
        </w:rPr>
        <w:t>performance results</w:t>
      </w:r>
      <w:r>
        <w:rPr>
          <w:rFonts w:eastAsia="Calibri" w:hAnsi="Tahoma" w:cs="Tahoma"/>
          <w:bCs/>
          <w:sz w:val="24"/>
          <w:szCs w:val="24"/>
        </w:rPr>
        <w:t>) 2018 tersebut diperbandingkan dengan Rencana Kinerja (</w:t>
      </w:r>
      <w:r>
        <w:rPr>
          <w:rFonts w:eastAsia="Calibri" w:hAnsi="Tahoma" w:cs="Tahoma"/>
          <w:bCs/>
          <w:i/>
          <w:sz w:val="24"/>
          <w:szCs w:val="24"/>
        </w:rPr>
        <w:t>performance plan</w:t>
      </w:r>
      <w:r>
        <w:rPr>
          <w:rFonts w:eastAsia="Calibri" w:hAnsi="Tahoma" w:cs="Tahoma"/>
          <w:bCs/>
          <w:sz w:val="24"/>
          <w:szCs w:val="24"/>
        </w:rPr>
        <w:t xml:space="preserve">) Tahun 2017 sebagai tolak ukur keberhasilan tahunan </w:t>
      </w:r>
      <w:r>
        <w:rPr>
          <w:rFonts w:hAnsi="Tahoma" w:cs="Tahoma"/>
          <w:sz w:val="24"/>
          <w:szCs w:val="24"/>
        </w:rPr>
        <w:t xml:space="preserve">Badan Kesatuan Bangsa dan Politik </w:t>
      </w:r>
      <w:r>
        <w:rPr>
          <w:rFonts w:eastAsia="Calibri" w:hAnsi="Tahoma" w:cs="Tahoma"/>
          <w:bCs/>
          <w:sz w:val="24"/>
          <w:szCs w:val="24"/>
        </w:rPr>
        <w:t xml:space="preserve">Provinsi Sumatera Barat. Analisis atas capaian kinerja terhadap rencana kinerja ini </w:t>
      </w:r>
      <w:proofErr w:type="gramStart"/>
      <w:r>
        <w:rPr>
          <w:rFonts w:eastAsia="Calibri" w:hAnsi="Tahoma" w:cs="Tahoma"/>
          <w:bCs/>
          <w:sz w:val="24"/>
          <w:szCs w:val="24"/>
        </w:rPr>
        <w:t>akan</w:t>
      </w:r>
      <w:proofErr w:type="gramEnd"/>
      <w:r>
        <w:rPr>
          <w:rFonts w:eastAsia="Calibri" w:hAnsi="Tahoma" w:cs="Tahoma"/>
          <w:bCs/>
          <w:sz w:val="24"/>
          <w:szCs w:val="24"/>
        </w:rPr>
        <w:t xml:space="preserve"> memungkinkan diidentifikasikannya sejumlah celah kinerja (</w:t>
      </w:r>
      <w:r>
        <w:rPr>
          <w:rFonts w:eastAsia="Calibri" w:hAnsi="Tahoma" w:cs="Tahoma"/>
          <w:bCs/>
          <w:i/>
          <w:sz w:val="24"/>
          <w:szCs w:val="24"/>
        </w:rPr>
        <w:t>performance gap</w:t>
      </w:r>
      <w:r>
        <w:rPr>
          <w:rFonts w:eastAsia="Calibri" w:hAnsi="Tahoma" w:cs="Tahoma"/>
          <w:bCs/>
          <w:sz w:val="24"/>
          <w:szCs w:val="24"/>
        </w:rPr>
        <w:t xml:space="preserve">) bagi perbaikan kinerja di masa datang. </w:t>
      </w:r>
    </w:p>
    <w:p w:rsidR="007335FD" w:rsidRDefault="00815898">
      <w:pPr>
        <w:pStyle w:val="ListParagraph"/>
        <w:spacing w:line="360" w:lineRule="auto"/>
        <w:ind w:left="440" w:right="-21" w:firstLine="440"/>
        <w:jc w:val="both"/>
        <w:rPr>
          <w:rFonts w:cs="Aparajita"/>
          <w:color w:val="000000" w:themeColor="text1"/>
          <w:sz w:val="24"/>
          <w:szCs w:val="24"/>
        </w:rPr>
      </w:pPr>
      <w:r>
        <w:rPr>
          <w:rFonts w:cs="Aparajita"/>
          <w:color w:val="000000" w:themeColor="text1"/>
          <w:sz w:val="24"/>
          <w:szCs w:val="24"/>
        </w:rPr>
        <w:t xml:space="preserve">Berdasarkan kerangka pikir tersebut, sistematika penyajian Laporan Kinerja Badan Kesatuan Bangsa dan Politik Provinsi Sumatera Barat Tahun 2018 adalah sebagai </w:t>
      </w:r>
      <w:proofErr w:type="gramStart"/>
      <w:r>
        <w:rPr>
          <w:rFonts w:cs="Aparajita"/>
          <w:color w:val="000000" w:themeColor="text1"/>
          <w:sz w:val="24"/>
          <w:szCs w:val="24"/>
        </w:rPr>
        <w:t>berikut :</w:t>
      </w:r>
      <w:proofErr w:type="gramEnd"/>
      <w:r>
        <w:rPr>
          <w:rFonts w:cs="Aparajita"/>
          <w:color w:val="000000" w:themeColor="text1"/>
          <w:sz w:val="24"/>
          <w:szCs w:val="24"/>
        </w:rPr>
        <w:t xml:space="preserve">  </w:t>
      </w:r>
    </w:p>
    <w:p w:rsidR="007335FD" w:rsidRDefault="00815898">
      <w:pPr>
        <w:pStyle w:val="ListParagraph"/>
        <w:numPr>
          <w:ilvl w:val="0"/>
          <w:numId w:val="5"/>
        </w:numPr>
        <w:spacing w:line="360" w:lineRule="auto"/>
        <w:ind w:leftChars="200" w:left="642" w:right="-21" w:hangingChars="84" w:hanging="202"/>
        <w:jc w:val="both"/>
        <w:rPr>
          <w:rFonts w:cs="Aparajita"/>
          <w:bCs/>
          <w:color w:val="000000" w:themeColor="text1"/>
          <w:sz w:val="24"/>
          <w:szCs w:val="24"/>
        </w:rPr>
      </w:pPr>
      <w:r>
        <w:rPr>
          <w:rFonts w:cs="Aparajita"/>
          <w:b/>
          <w:color w:val="000000" w:themeColor="text1"/>
          <w:sz w:val="24"/>
          <w:szCs w:val="24"/>
        </w:rPr>
        <w:t xml:space="preserve">BAB </w:t>
      </w:r>
      <w:proofErr w:type="gramStart"/>
      <w:r>
        <w:rPr>
          <w:rFonts w:cs="Aparajita"/>
          <w:b/>
          <w:color w:val="000000" w:themeColor="text1"/>
          <w:sz w:val="24"/>
          <w:szCs w:val="24"/>
        </w:rPr>
        <w:t>I :</w:t>
      </w:r>
      <w:proofErr w:type="gramEnd"/>
      <w:r>
        <w:rPr>
          <w:rFonts w:cs="Aparajita"/>
          <w:b/>
          <w:color w:val="000000" w:themeColor="text1"/>
          <w:sz w:val="24"/>
          <w:szCs w:val="24"/>
        </w:rPr>
        <w:t xml:space="preserve"> Pendahuluan, </w:t>
      </w:r>
      <w:r>
        <w:rPr>
          <w:rFonts w:eastAsia="Calibri" w:hAnsi="Tahoma" w:cs="Tahoma"/>
          <w:bCs/>
          <w:sz w:val="24"/>
          <w:szCs w:val="24"/>
        </w:rPr>
        <w:t xml:space="preserve">menjelaskan secara ringkas latar belakang, maksud dan tujuan, gambaran umum tupoksi dan sumberdaya yang dimiliki untuk melaksanakan kegiatan pada tahun 2018, dasar hukum, isu strategis dan sistematika penulisan Laporan Kinerja. </w:t>
      </w:r>
    </w:p>
    <w:p w:rsidR="007335FD" w:rsidRDefault="00815898">
      <w:pPr>
        <w:pStyle w:val="ListParagraph"/>
        <w:numPr>
          <w:ilvl w:val="0"/>
          <w:numId w:val="5"/>
        </w:numPr>
        <w:spacing w:line="360" w:lineRule="auto"/>
        <w:ind w:leftChars="200" w:left="642" w:right="-21" w:hangingChars="84" w:hanging="202"/>
        <w:jc w:val="both"/>
        <w:rPr>
          <w:rFonts w:hAnsi="Tahoma" w:cs="Tahoma"/>
          <w:bCs/>
          <w:sz w:val="24"/>
          <w:szCs w:val="24"/>
        </w:rPr>
      </w:pPr>
      <w:r>
        <w:rPr>
          <w:rFonts w:cs="Aparajita"/>
          <w:b/>
          <w:color w:val="000000" w:themeColor="text1"/>
          <w:sz w:val="24"/>
          <w:szCs w:val="24"/>
        </w:rPr>
        <w:t xml:space="preserve">BAB II : Perencanaan Kinerja, </w:t>
      </w:r>
      <w:r>
        <w:rPr>
          <w:rFonts w:cs="Aparajita"/>
          <w:bCs/>
          <w:color w:val="000000" w:themeColor="text1"/>
          <w:sz w:val="24"/>
          <w:szCs w:val="24"/>
        </w:rPr>
        <w:t xml:space="preserve">memuat perencanaan strategis 2016-2021, indikator kinerja utama 2016-2021, Rencana Kerja Tahunan 2018 dan  perjanjian kinerja tahun 2018, </w:t>
      </w:r>
    </w:p>
    <w:p w:rsidR="007335FD" w:rsidRDefault="00815898">
      <w:pPr>
        <w:pStyle w:val="ListParagraph"/>
        <w:numPr>
          <w:ilvl w:val="0"/>
          <w:numId w:val="5"/>
        </w:numPr>
        <w:spacing w:line="360" w:lineRule="auto"/>
        <w:ind w:leftChars="200" w:left="642" w:right="-21" w:hangingChars="84" w:hanging="202"/>
        <w:jc w:val="both"/>
        <w:rPr>
          <w:rFonts w:hAnsi="Tahoma" w:cs="Tahoma"/>
          <w:bCs/>
          <w:sz w:val="24"/>
          <w:szCs w:val="24"/>
        </w:rPr>
      </w:pPr>
      <w:r>
        <w:rPr>
          <w:rFonts w:cs="Aparajita"/>
          <w:b/>
          <w:color w:val="000000" w:themeColor="text1"/>
          <w:sz w:val="24"/>
          <w:szCs w:val="24"/>
        </w:rPr>
        <w:t xml:space="preserve">BAB III : Akuntabilitas Kinerja, </w:t>
      </w:r>
      <w:r>
        <w:rPr>
          <w:rFonts w:eastAsia="Calibri" w:hAnsi="Tahoma" w:cs="Tahoma"/>
          <w:bCs/>
          <w:sz w:val="24"/>
          <w:szCs w:val="24"/>
        </w:rPr>
        <w:t xml:space="preserve">menjelaskan Pengukuran Kinerja, Evaluasi dan Analisis Pencapaian Kinerja, pencapaian indikatornya dilaksanakan oleh </w:t>
      </w:r>
      <w:r>
        <w:rPr>
          <w:rFonts w:hAnsi="Tahoma" w:cs="Tahoma"/>
          <w:bCs/>
          <w:sz w:val="24"/>
          <w:szCs w:val="24"/>
        </w:rPr>
        <w:t>Badan Kesatuan Bangsa dan Politik</w:t>
      </w:r>
      <w:r>
        <w:rPr>
          <w:rFonts w:eastAsia="Calibri" w:hAnsi="Tahoma" w:cs="Tahoma"/>
          <w:bCs/>
          <w:sz w:val="24"/>
          <w:szCs w:val="24"/>
        </w:rPr>
        <w:t xml:space="preserve"> Provinsi Sumatera Barat, dan membahas Akuntabilitas Keuangan. </w:t>
      </w:r>
    </w:p>
    <w:p w:rsidR="007335FD" w:rsidRDefault="00815898">
      <w:pPr>
        <w:pStyle w:val="ListParagraph"/>
        <w:numPr>
          <w:ilvl w:val="0"/>
          <w:numId w:val="5"/>
        </w:numPr>
        <w:spacing w:line="360" w:lineRule="auto"/>
        <w:ind w:leftChars="200" w:left="642" w:right="-21" w:hangingChars="84" w:hanging="202"/>
        <w:jc w:val="both"/>
        <w:rPr>
          <w:rFonts w:hAnsi="Tahoma" w:cs="Tahoma"/>
          <w:bCs/>
          <w:sz w:val="24"/>
          <w:szCs w:val="24"/>
        </w:rPr>
      </w:pPr>
      <w:r>
        <w:rPr>
          <w:rFonts w:cs="Aparajita"/>
          <w:b/>
          <w:color w:val="000000" w:themeColor="text1"/>
          <w:sz w:val="24"/>
          <w:szCs w:val="24"/>
        </w:rPr>
        <w:t xml:space="preserve">BAB IV : Penutup, </w:t>
      </w:r>
      <w:r>
        <w:rPr>
          <w:rFonts w:cs="Aparajita"/>
          <w:bCs/>
          <w:color w:val="000000" w:themeColor="text1"/>
          <w:sz w:val="24"/>
          <w:szCs w:val="24"/>
        </w:rPr>
        <w:t xml:space="preserve">berisikan kesimpulan umum atas capaian kinerja Badan Kesatuan Bangsa dan Politik Provinsi Sumatera Barat Tahun 2018 dan </w:t>
      </w:r>
      <w:r>
        <w:rPr>
          <w:rFonts w:eastAsia="Calibri" w:hAnsi="Tahoma" w:cs="Tahoma"/>
          <w:bCs/>
          <w:sz w:val="24"/>
          <w:szCs w:val="24"/>
        </w:rPr>
        <w:t>menguraikan rekomendasi yang diperlukan bagi perbaikan kinerja di masa datang.</w:t>
      </w:r>
      <w:r>
        <w:rPr>
          <w:rFonts w:hAnsi="Tahoma" w:cs="Tahoma"/>
          <w:bCs/>
          <w:sz w:val="24"/>
          <w:szCs w:val="24"/>
        </w:rPr>
        <w:t xml:space="preserve"> </w:t>
      </w:r>
    </w:p>
    <w:p w:rsidR="007335FD" w:rsidRDefault="007335FD">
      <w:pPr>
        <w:pStyle w:val="ListParagraph"/>
        <w:spacing w:line="360" w:lineRule="auto"/>
        <w:ind w:left="360"/>
        <w:rPr>
          <w:rFonts w:ascii="Stencil" w:hAnsi="Stencil"/>
          <w:sz w:val="28"/>
          <w:szCs w:val="28"/>
        </w:rPr>
      </w:pPr>
    </w:p>
    <w:p w:rsidR="007335FD" w:rsidRDefault="007335FD">
      <w:pPr>
        <w:pStyle w:val="ListParagraph"/>
        <w:spacing w:line="360" w:lineRule="auto"/>
        <w:ind w:left="360"/>
        <w:rPr>
          <w:rFonts w:ascii="Stencil" w:hAnsi="Stencil"/>
          <w:sz w:val="28"/>
          <w:szCs w:val="28"/>
        </w:rPr>
      </w:pPr>
    </w:p>
    <w:p w:rsidR="007335FD" w:rsidRDefault="007335FD">
      <w:pPr>
        <w:pStyle w:val="ListParagraph"/>
        <w:spacing w:line="360" w:lineRule="auto"/>
        <w:ind w:left="360"/>
        <w:rPr>
          <w:rFonts w:ascii="Stencil" w:hAnsi="Stencil"/>
          <w:sz w:val="28"/>
          <w:szCs w:val="28"/>
        </w:rPr>
      </w:pPr>
    </w:p>
    <w:p w:rsidR="007335FD" w:rsidRDefault="007335FD">
      <w:pPr>
        <w:pStyle w:val="ListParagraph"/>
        <w:spacing w:line="360" w:lineRule="auto"/>
        <w:ind w:left="360"/>
        <w:rPr>
          <w:rFonts w:ascii="Stencil" w:hAnsi="Stencil"/>
          <w:sz w:val="28"/>
          <w:szCs w:val="28"/>
        </w:rPr>
      </w:pPr>
    </w:p>
    <w:p w:rsidR="007335FD" w:rsidRDefault="007335FD">
      <w:pPr>
        <w:pStyle w:val="ListParagraph"/>
        <w:spacing w:line="360" w:lineRule="auto"/>
        <w:ind w:left="360"/>
        <w:rPr>
          <w:rFonts w:ascii="Stencil" w:hAnsi="Stencil"/>
          <w:sz w:val="28"/>
          <w:szCs w:val="28"/>
        </w:rPr>
      </w:pPr>
    </w:p>
    <w:tbl>
      <w:tblPr>
        <w:tblStyle w:val="TableGrid"/>
        <w:tblW w:w="947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00000"/>
        <w:tblLayout w:type="fixed"/>
        <w:tblLook w:val="04A0" w:firstRow="1" w:lastRow="0" w:firstColumn="1" w:lastColumn="0" w:noHBand="0" w:noVBand="1"/>
      </w:tblPr>
      <w:tblGrid>
        <w:gridCol w:w="1995"/>
        <w:gridCol w:w="7481"/>
      </w:tblGrid>
      <w:tr w:rsidR="007335FD">
        <w:trPr>
          <w:trHeight w:val="545"/>
        </w:trPr>
        <w:tc>
          <w:tcPr>
            <w:tcW w:w="1995" w:type="dxa"/>
            <w:shd w:val="clear" w:color="auto" w:fill="C00000"/>
          </w:tcPr>
          <w:p w:rsidR="007335FD" w:rsidRDefault="00815898">
            <w:pPr>
              <w:rPr>
                <w:rFonts w:ascii="Bernard MT Condensed" w:hAnsi="Bernard MT Condensed"/>
                <w:color w:val="FFFFFF" w:themeColor="background1"/>
                <w:sz w:val="52"/>
                <w:szCs w:val="52"/>
              </w:rPr>
            </w:pPr>
            <w:r>
              <w:rPr>
                <w:rFonts w:ascii="Segoe UI Black" w:hAnsi="Segoe UI Black" w:cs="Segoe UI Black"/>
                <w:color w:val="FFFFFF" w:themeColor="background1"/>
                <w:sz w:val="52"/>
                <w:szCs w:val="52"/>
              </w:rPr>
              <w:t>BAB II</w:t>
            </w:r>
          </w:p>
        </w:tc>
        <w:tc>
          <w:tcPr>
            <w:tcW w:w="7481" w:type="dxa"/>
            <w:shd w:val="clear" w:color="auto" w:fill="C00000"/>
          </w:tcPr>
          <w:p w:rsidR="007335FD" w:rsidRDefault="00815898">
            <w:pPr>
              <w:jc w:val="center"/>
              <w:rPr>
                <w:rFonts w:ascii="Bernard MT Condensed" w:hAnsi="Bernard MT Condensed"/>
                <w:color w:val="FFFFFF" w:themeColor="background1"/>
                <w:sz w:val="52"/>
                <w:szCs w:val="52"/>
              </w:rPr>
            </w:pPr>
            <w:r>
              <w:rPr>
                <w:rFonts w:ascii="Segoe UI Black" w:hAnsi="Segoe UI Black" w:cs="Segoe UI Black"/>
                <w:color w:val="FFFFFF" w:themeColor="background1"/>
                <w:sz w:val="52"/>
                <w:szCs w:val="52"/>
              </w:rPr>
              <w:t>PERENCANAAN KINERJA</w:t>
            </w:r>
          </w:p>
        </w:tc>
      </w:tr>
    </w:tbl>
    <w:p w:rsidR="007335FD" w:rsidRDefault="007335FD">
      <w:pPr>
        <w:autoSpaceDE w:val="0"/>
        <w:autoSpaceDN w:val="0"/>
        <w:adjustRightInd w:val="0"/>
        <w:spacing w:after="0" w:line="360" w:lineRule="auto"/>
        <w:jc w:val="both"/>
        <w:rPr>
          <w:rFonts w:cs="Aparajita"/>
          <w:sz w:val="24"/>
          <w:szCs w:val="24"/>
        </w:rPr>
      </w:pPr>
    </w:p>
    <w:p w:rsidR="007335FD" w:rsidRDefault="00815898">
      <w:pPr>
        <w:autoSpaceDE w:val="0"/>
        <w:autoSpaceDN w:val="0"/>
        <w:adjustRightInd w:val="0"/>
        <w:spacing w:after="0" w:line="360" w:lineRule="auto"/>
        <w:ind w:firstLine="720"/>
        <w:jc w:val="both"/>
        <w:rPr>
          <w:sz w:val="24"/>
          <w:szCs w:val="24"/>
        </w:rPr>
      </w:pPr>
      <w:proofErr w:type="gramStart"/>
      <w:r>
        <w:rPr>
          <w:rFonts w:cs="Aparajita"/>
          <w:sz w:val="24"/>
          <w:szCs w:val="24"/>
        </w:rPr>
        <w:lastRenderedPageBreak/>
        <w:t>Dokumen perencanaan dan perjanjian kinerja merupakan suatu dokumen yang dimanfaatkan oleh setiap pimpinan Instansi Pemerintah untuk memantau dan mengendalikan pencapaian kinerja organisasi, melaporkan capaian realisasi kinerja dalam Laporan Kinerja SKPD serta menilai keberhasilan organisasi.</w:t>
      </w:r>
      <w:proofErr w:type="gramEnd"/>
      <w:r>
        <w:rPr>
          <w:rFonts w:cs="Aparajita"/>
          <w:sz w:val="24"/>
          <w:szCs w:val="24"/>
        </w:rPr>
        <w:t xml:space="preserve"> </w:t>
      </w:r>
      <w:proofErr w:type="gramStart"/>
      <w:r>
        <w:rPr>
          <w:rFonts w:cs="Aparajita"/>
          <w:sz w:val="24"/>
          <w:szCs w:val="24"/>
        </w:rPr>
        <w:t>Perencanaan dan perjanjian kinerja tidak dapat dipisahkan dari Rencana Strategis karena sesungguhnya merupakan penjabaran tahunan dari Renstra itu sendiri</w:t>
      </w:r>
      <w:r>
        <w:rPr>
          <w:rFonts w:cs="Arial"/>
          <w:sz w:val="24"/>
          <w:szCs w:val="24"/>
        </w:rPr>
        <w:t>.</w:t>
      </w:r>
      <w:proofErr w:type="gramEnd"/>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pict>
          <v:shape id="_x0000_s1034" type="#_x0000_t32" style="position:absolute;left:0;text-align:left;margin-left:1.05pt;margin-top:26.35pt;width:462.7pt;height:0;z-index:252910592;mso-width-relative:page;mso-height-relative:page" strokecolor="#c00000" strokeweight="4.5pt"/>
        </w:pict>
      </w:r>
      <w:proofErr w:type="gramStart"/>
      <w:r w:rsidR="00815898">
        <w:rPr>
          <w:rFonts w:ascii="Segoe UI Black" w:hAnsi="Segoe UI Black" w:cs="Segoe UI Black"/>
          <w:b/>
          <w:bCs/>
          <w:sz w:val="24"/>
          <w:szCs w:val="24"/>
        </w:rPr>
        <w:t>2.1  Perencanaan</w:t>
      </w:r>
      <w:proofErr w:type="gramEnd"/>
      <w:r w:rsidR="00815898">
        <w:rPr>
          <w:rFonts w:ascii="Segoe UI Black" w:hAnsi="Segoe UI Black" w:cs="Segoe UI Black"/>
          <w:b/>
          <w:bCs/>
          <w:sz w:val="24"/>
          <w:szCs w:val="24"/>
        </w:rPr>
        <w:t xml:space="preserve"> Strategis (Renstra) Badan Kesbangpol Tahun 2016-2021</w:t>
      </w:r>
    </w:p>
    <w:p w:rsidR="007335FD" w:rsidRDefault="00851EC5">
      <w:pPr>
        <w:pStyle w:val="ListParagraph"/>
        <w:autoSpaceDE w:val="0"/>
        <w:autoSpaceDN w:val="0"/>
        <w:adjustRightInd w:val="0"/>
        <w:spacing w:after="0" w:line="360" w:lineRule="auto"/>
        <w:ind w:left="0"/>
        <w:jc w:val="both"/>
        <w:rPr>
          <w:rFonts w:ascii="Berlin Sans FB" w:hAnsi="Berlin Sans FB" w:cs="Arial"/>
          <w:sz w:val="24"/>
          <w:szCs w:val="24"/>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1.5pt;margin-top:2pt;width:461.9pt;height:.0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tOQIAAHc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" adj=",-131781600,-3437" strokecolor="#060" strokeweight="4.5pt"/>
        </w:pict>
      </w:r>
    </w:p>
    <w:p w:rsidR="007335FD" w:rsidRDefault="00815898">
      <w:pPr>
        <w:autoSpaceDE w:val="0"/>
        <w:autoSpaceDN w:val="0"/>
        <w:adjustRightInd w:val="0"/>
        <w:spacing w:after="0" w:line="360" w:lineRule="auto"/>
        <w:ind w:leftChars="200" w:left="440" w:firstLine="660"/>
        <w:jc w:val="both"/>
        <w:rPr>
          <w:rFonts w:hAnsi="Aparajita" w:cs="Aparajita"/>
          <w:sz w:val="24"/>
          <w:szCs w:val="24"/>
        </w:rPr>
      </w:pPr>
      <w:proofErr w:type="gramStart"/>
      <w:r>
        <w:rPr>
          <w:rFonts w:cs="Arial"/>
          <w:sz w:val="24"/>
          <w:szCs w:val="24"/>
        </w:rPr>
        <w:t>Di antara misi RPJMD Provinsi Sumatera Barat tahun 2016-2021 adalah meningkatkan tata kehidupan yang harmonis, agamais, beradat dan berbudaya berdasarkan falsafah “Adat Basandi Syarak, Syarak Basandi Kitabullah”.</w:t>
      </w:r>
      <w:proofErr w:type="gramEnd"/>
      <w:r>
        <w:rPr>
          <w:rFonts w:cs="Arial"/>
          <w:sz w:val="24"/>
          <w:szCs w:val="24"/>
        </w:rPr>
        <w:t xml:space="preserve"> Untuk mencapai misi tersebut, salah satu sasaran yang ditetapkan dalam RPJMD 2016-2021 yang menjadi tanggung jawab Badan Kesbangpol adalah meningkatnya kualitas kehidupan beragama dan kerukunan antar umat beragama dan berkurangnya penyakit masyarakat. Dari 2 sasaran tersebut, ditetapkan tujuan yang akan dicapai oleh Badan Kesbangpol Prov Sumbar selama periode 5 tahun (2016-2021) yaitu  t</w:t>
      </w:r>
      <w:r>
        <w:rPr>
          <w:rFonts w:hAnsi="Aparajita" w:cs="Aparajita"/>
          <w:sz w:val="24"/>
          <w:szCs w:val="24"/>
        </w:rPr>
        <w:t xml:space="preserve">erwujudnya stabilitas keamanan di Sumatera Barat dan terwujudnya situasi dan kondisi politik yang demokratis. Pencapaian tujuan didukung oleh beberapa sasaran dan dijabarkan </w:t>
      </w:r>
      <w:proofErr w:type="gramStart"/>
      <w:r>
        <w:rPr>
          <w:rFonts w:hAnsi="Aparajita" w:cs="Aparajita"/>
          <w:sz w:val="24"/>
          <w:szCs w:val="24"/>
        </w:rPr>
        <w:t>dalam  bentuk</w:t>
      </w:r>
      <w:proofErr w:type="gramEnd"/>
      <w:r>
        <w:rPr>
          <w:rFonts w:hAnsi="Aparajita" w:cs="Aparajita"/>
          <w:sz w:val="24"/>
          <w:szCs w:val="24"/>
        </w:rPr>
        <w:t xml:space="preserve"> program dan kegiatan sebagaimana tertuang dalam Perencanaan Strategis (Renstra) Badan Kesbangpol tahun 2016-2021.</w:t>
      </w:r>
    </w:p>
    <w:p w:rsidR="007335FD" w:rsidRDefault="00815898">
      <w:pPr>
        <w:autoSpaceDE w:val="0"/>
        <w:autoSpaceDN w:val="0"/>
        <w:adjustRightInd w:val="0"/>
        <w:spacing w:after="0" w:line="360" w:lineRule="auto"/>
        <w:ind w:leftChars="200" w:left="440" w:firstLine="660"/>
        <w:jc w:val="both"/>
        <w:rPr>
          <w:rFonts w:cs="Arial"/>
          <w:sz w:val="24"/>
          <w:szCs w:val="24"/>
        </w:rPr>
      </w:pPr>
      <w:r>
        <w:rPr>
          <w:rFonts w:cs="Arial"/>
          <w:sz w:val="24"/>
          <w:szCs w:val="24"/>
        </w:rPr>
        <w:t xml:space="preserve">Renstra disusun sebagai upaya mewujudkan </w:t>
      </w:r>
      <w:r>
        <w:rPr>
          <w:rFonts w:cs="Arial"/>
          <w:i/>
          <w:iCs/>
          <w:sz w:val="24"/>
          <w:szCs w:val="24"/>
        </w:rPr>
        <w:t xml:space="preserve">good governance </w:t>
      </w:r>
      <w:proofErr w:type="gramStart"/>
      <w:r>
        <w:rPr>
          <w:rFonts w:cs="Arial"/>
          <w:sz w:val="24"/>
          <w:szCs w:val="24"/>
        </w:rPr>
        <w:t xml:space="preserve">dan </w:t>
      </w:r>
      <w:r>
        <w:rPr>
          <w:rFonts w:cs="Arial"/>
          <w:i/>
          <w:iCs/>
          <w:sz w:val="24"/>
          <w:szCs w:val="24"/>
        </w:rPr>
        <w:t>clean</w:t>
      </w:r>
      <w:proofErr w:type="gramEnd"/>
      <w:r>
        <w:rPr>
          <w:rFonts w:cs="Arial"/>
          <w:i/>
          <w:iCs/>
          <w:sz w:val="24"/>
          <w:szCs w:val="24"/>
        </w:rPr>
        <w:t xml:space="preserve"> goverment </w:t>
      </w:r>
      <w:r>
        <w:rPr>
          <w:rFonts w:cs="Arial"/>
          <w:sz w:val="24"/>
          <w:szCs w:val="24"/>
        </w:rPr>
        <w:t xml:space="preserve">yang merupakan prasyarat bagi setiap penyelenggara pemerintahan dalam upaya penerapan sistem pertanggungjawaban yang tepat, jelas, dan </w:t>
      </w:r>
      <w:r>
        <w:rPr>
          <w:rFonts w:cs="Arial"/>
          <w:i/>
          <w:iCs/>
          <w:sz w:val="24"/>
          <w:szCs w:val="24"/>
        </w:rPr>
        <w:t xml:space="preserve">legitimate. </w:t>
      </w:r>
      <w:r>
        <w:rPr>
          <w:rFonts w:cs="Arial"/>
          <w:sz w:val="24"/>
          <w:szCs w:val="24"/>
        </w:rPr>
        <w:t>Dalam Instruksi Presiden Nomor 7 Tahun 1999 tentang Akuntabilitas Kinerja Instansi Pemerintah, disebutkan bahwa Perencanaan Strategis (Renstra) merupakan suatu proses yang berorientasi pada hasil yang ingin dicapai selama kurun waktu satu hingga lima tahun dengan memperhitungkan potensi, peluang, dan kendala yang ada atau yang mungkin terjadi.</w:t>
      </w:r>
    </w:p>
    <w:p w:rsidR="007335FD" w:rsidRDefault="00815898">
      <w:pPr>
        <w:autoSpaceDE w:val="0"/>
        <w:autoSpaceDN w:val="0"/>
        <w:adjustRightInd w:val="0"/>
        <w:spacing w:after="0" w:line="360" w:lineRule="auto"/>
        <w:ind w:leftChars="200" w:left="440" w:firstLine="660"/>
        <w:jc w:val="both"/>
        <w:rPr>
          <w:rFonts w:cs="Arial"/>
          <w:sz w:val="24"/>
          <w:szCs w:val="24"/>
        </w:rPr>
      </w:pPr>
      <w:r>
        <w:rPr>
          <w:rFonts w:cs="Arial"/>
          <w:sz w:val="24"/>
          <w:szCs w:val="24"/>
        </w:rPr>
        <w:t xml:space="preserve">Renstra Badan Kesbangpol Provinsi Sumatera Barat merupakan perencanaan lima tahunan yang menggambarkan Visi, Misi, Tujuan, Sasaran, Strategi Kebijakan, Program, dan Indikasi Kegiatan dalam periode tahun 2016-2021. Oleh karena itu, Renstra tersebut merupakan dokumen perencanaan program dan kegiatan sebagai alat bantu dan menjadi </w:t>
      </w:r>
      <w:r>
        <w:rPr>
          <w:rFonts w:cs="Arial"/>
          <w:sz w:val="24"/>
          <w:szCs w:val="24"/>
        </w:rPr>
        <w:lastRenderedPageBreak/>
        <w:t>tolok ukur dalam mengemban amanat yang ditetapkan dalam Rencana Pembangunan Jangka Menengah (RPJM) Daerah Provinsi Sumatera Barat tahun 2016-2021, khususnya di bidang kasatuan bangsa dan politik.</w:t>
      </w:r>
    </w:p>
    <w:p w:rsidR="007335FD" w:rsidRDefault="00815898">
      <w:pPr>
        <w:autoSpaceDE w:val="0"/>
        <w:autoSpaceDN w:val="0"/>
        <w:adjustRightInd w:val="0"/>
        <w:spacing w:after="0" w:line="360" w:lineRule="auto"/>
        <w:ind w:leftChars="200" w:left="440" w:firstLine="660"/>
        <w:jc w:val="both"/>
        <w:rPr>
          <w:rFonts w:cs="Arial"/>
          <w:sz w:val="24"/>
          <w:szCs w:val="24"/>
        </w:rPr>
      </w:pPr>
      <w:r>
        <w:rPr>
          <w:rFonts w:cs="Arial"/>
          <w:sz w:val="24"/>
          <w:szCs w:val="24"/>
        </w:rPr>
        <w:t xml:space="preserve">Renstra Badan Kesbangpol Tahun 2016-2021 menjadi landasan dalam menyusun dan menetapkan Rencana Kerja Tahunan (RKT) dan Perjanjian Kinerja (PK) Badan Kesatuan Bangsa dan Politik Provinsi Sumatera Barat Tahun 2018. Garis besar Perencanaan Strategis (Rsnstra) Badan Kesatuan Bangsa dan Politik Provinsi Sumatera Barat Tahun 2016 – 2021 adalah sebagai </w:t>
      </w:r>
      <w:proofErr w:type="gramStart"/>
      <w:r>
        <w:rPr>
          <w:rFonts w:cs="Arial"/>
          <w:sz w:val="24"/>
          <w:szCs w:val="24"/>
        </w:rPr>
        <w:t>berikut :</w:t>
      </w:r>
      <w:proofErr w:type="gramEnd"/>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t>2.1.1 Visi</w:t>
      </w:r>
    </w:p>
    <w:p w:rsidR="007335FD" w:rsidRDefault="00815898">
      <w:pPr>
        <w:autoSpaceDE w:val="0"/>
        <w:autoSpaceDN w:val="0"/>
        <w:adjustRightInd w:val="0"/>
        <w:spacing w:after="0" w:line="360" w:lineRule="auto"/>
        <w:ind w:left="709" w:firstLine="11"/>
        <w:jc w:val="both"/>
        <w:rPr>
          <w:rFonts w:cs="Aparajita"/>
          <w:sz w:val="24"/>
          <w:szCs w:val="24"/>
        </w:rPr>
      </w:pPr>
      <w:r>
        <w:rPr>
          <w:rFonts w:cs="Aparajita"/>
          <w:sz w:val="24"/>
          <w:szCs w:val="24"/>
        </w:rPr>
        <w:t xml:space="preserve">Visi Badan Kesatuan Bangsa dan Politik Provinsi Sumatera Barat adalah sebagai </w:t>
      </w:r>
      <w:proofErr w:type="gramStart"/>
      <w:r>
        <w:rPr>
          <w:rFonts w:cs="Aparajita"/>
          <w:sz w:val="24"/>
          <w:szCs w:val="24"/>
        </w:rPr>
        <w:t>berikut :</w:t>
      </w:r>
      <w:proofErr w:type="gramEnd"/>
    </w:p>
    <w:p w:rsidR="007335FD" w:rsidRDefault="00851EC5">
      <w:pPr>
        <w:autoSpaceDE w:val="0"/>
        <w:autoSpaceDN w:val="0"/>
        <w:adjustRightInd w:val="0"/>
        <w:spacing w:after="0" w:line="360" w:lineRule="auto"/>
        <w:rPr>
          <w:rFonts w:ascii="Berlin Sans FB" w:hAnsi="Berlin Sans FB" w:cs="Arial"/>
          <w:sz w:val="24"/>
          <w:szCs w:val="24"/>
        </w:rPr>
      </w:pPr>
      <w:r>
        <w:rPr>
          <w:rFonts w:ascii="Berlin Sans FB" w:hAnsi="Berlin Sans FB" w:cs="Arial"/>
          <w:sz w:val="24"/>
          <w:szCs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2" o:spid="_x0000_s1040" type="#_x0000_t97" style="position:absolute;margin-left:78.15pt;margin-top:12.7pt;width:321.7pt;height:88.15pt;z-index:251655168;mso-width-relative:page;mso-height-relative:page" fillcolor="#c00000" strokecolor="white" strokeweight="2.25pt">
            <v:shadow on="t" color="#632523" opacity=".5" offset="1pt"/>
            <v:textbox>
              <w:txbxContent>
                <w:p w:rsidR="00815898" w:rsidRDefault="00815898">
                  <w:pPr>
                    <w:jc w:val="center"/>
                    <w:rPr>
                      <w:sz w:val="24"/>
                      <w:szCs w:val="24"/>
                    </w:rPr>
                  </w:pPr>
                  <w:r>
                    <w:rPr>
                      <w:rFonts w:cs="Tahoma"/>
                      <w:b/>
                      <w:sz w:val="24"/>
                      <w:szCs w:val="24"/>
                      <w:lang w:val="sv-SE"/>
                    </w:rPr>
                    <w:t>TERWUJUDNYA KEHIDUPAN MASYARAKAT SUMATERA BARAT YANG AMAN, DEMOKRATIS,  BERSATU BERDASARKAN PANCASILA DAN UUD 1945</w:t>
                  </w:r>
                </w:p>
              </w:txbxContent>
            </v:textbox>
          </v:shape>
        </w:pict>
      </w:r>
    </w:p>
    <w:p w:rsidR="007335FD" w:rsidRDefault="007335FD">
      <w:pPr>
        <w:autoSpaceDE w:val="0"/>
        <w:autoSpaceDN w:val="0"/>
        <w:adjustRightInd w:val="0"/>
        <w:spacing w:after="0" w:line="360" w:lineRule="auto"/>
        <w:ind w:firstLine="720"/>
        <w:rPr>
          <w:rFonts w:ascii="Berlin Sans FB" w:hAnsi="Berlin Sans FB" w:cs="Arial"/>
          <w:sz w:val="24"/>
          <w:szCs w:val="24"/>
        </w:rPr>
      </w:pPr>
    </w:p>
    <w:p w:rsidR="007335FD" w:rsidRDefault="007335FD">
      <w:pPr>
        <w:autoSpaceDE w:val="0"/>
        <w:autoSpaceDN w:val="0"/>
        <w:adjustRightInd w:val="0"/>
        <w:spacing w:after="0" w:line="360" w:lineRule="auto"/>
        <w:ind w:firstLine="720"/>
        <w:rPr>
          <w:rFonts w:ascii="Berlin Sans FB" w:hAnsi="Berlin Sans FB" w:cs="Arial"/>
          <w:sz w:val="24"/>
          <w:szCs w:val="24"/>
        </w:rPr>
      </w:pPr>
    </w:p>
    <w:p w:rsidR="007335FD" w:rsidRDefault="007335FD">
      <w:pPr>
        <w:autoSpaceDE w:val="0"/>
        <w:autoSpaceDN w:val="0"/>
        <w:adjustRightInd w:val="0"/>
        <w:spacing w:after="0" w:line="360" w:lineRule="auto"/>
        <w:ind w:firstLine="720"/>
        <w:rPr>
          <w:rFonts w:ascii="Berlin Sans FB" w:hAnsi="Berlin Sans FB" w:cs="Arial"/>
          <w:sz w:val="24"/>
          <w:szCs w:val="24"/>
        </w:rPr>
      </w:pP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t>2.1.2 Misi</w:t>
      </w:r>
    </w:p>
    <w:p w:rsidR="007335FD" w:rsidRDefault="00815898">
      <w:pPr>
        <w:autoSpaceDE w:val="0"/>
        <w:autoSpaceDN w:val="0"/>
        <w:adjustRightInd w:val="0"/>
        <w:spacing w:after="0" w:line="360" w:lineRule="auto"/>
        <w:ind w:left="709" w:firstLine="11"/>
        <w:jc w:val="both"/>
        <w:rPr>
          <w:rFonts w:cs="Aparajita"/>
          <w:sz w:val="24"/>
          <w:szCs w:val="24"/>
        </w:rPr>
      </w:pPr>
      <w:r>
        <w:rPr>
          <w:rFonts w:cs="Aparajita"/>
          <w:sz w:val="24"/>
          <w:szCs w:val="24"/>
        </w:rPr>
        <w:t xml:space="preserve">Untuk dapat mewujudkan visi Badan Kesatuan Bangsa dan Politik Provinsi Sumatera Barat, maka ditetapkan misi Badan Kesatuan Bangsa dan Politik Provinsi Sumatera Barat sebagai </w:t>
      </w:r>
      <w:proofErr w:type="gramStart"/>
      <w:r>
        <w:rPr>
          <w:rFonts w:cs="Aparajita"/>
          <w:sz w:val="24"/>
          <w:szCs w:val="24"/>
        </w:rPr>
        <w:t>berikut :</w:t>
      </w:r>
      <w:proofErr w:type="gramEnd"/>
    </w:p>
    <w:p w:rsidR="007335FD" w:rsidRDefault="00851EC5">
      <w:pPr>
        <w:autoSpaceDE w:val="0"/>
        <w:autoSpaceDN w:val="0"/>
        <w:adjustRightInd w:val="0"/>
        <w:spacing w:after="0" w:line="360" w:lineRule="auto"/>
        <w:ind w:firstLine="720"/>
        <w:rPr>
          <w:rFonts w:ascii="Aparajita" w:hAnsi="Aparajita" w:cs="Aparajita"/>
          <w:sz w:val="24"/>
          <w:szCs w:val="24"/>
        </w:rPr>
      </w:pPr>
      <w:r>
        <w:rPr>
          <w:rFonts w:ascii="Berlin Sans FB" w:hAnsi="Berlin Sans FB" w:cs="Arial"/>
          <w:sz w:val="24"/>
          <w:szCs w:val="24"/>
        </w:rPr>
        <w:pict>
          <v:shape id="AutoShape 14" o:spid="_x0000_s1042" type="#_x0000_t97" style="position:absolute;left:0;text-align:left;margin-left:50.45pt;margin-top:6.9pt;width:427.5pt;height:128.55pt;z-index:251661312;mso-width-relative:page;mso-height-relative:page" fillcolor="#c00000" strokecolor="white" strokeweight="3pt">
            <v:shadow on="t" color="#632523" opacity=".5" offset="1pt"/>
            <v:textbox>
              <w:txbxContent>
                <w:p w:rsidR="00815898" w:rsidRDefault="00815898">
                  <w:pPr>
                    <w:pStyle w:val="ListParagraph"/>
                    <w:numPr>
                      <w:ilvl w:val="0"/>
                      <w:numId w:val="6"/>
                    </w:numPr>
                    <w:spacing w:after="0" w:line="360" w:lineRule="auto"/>
                    <w:contextualSpacing w:val="0"/>
                    <w:jc w:val="both"/>
                    <w:rPr>
                      <w:rFonts w:cs="Tahoma"/>
                      <w:b/>
                      <w:color w:val="FFFFFF" w:themeColor="background1"/>
                      <w:sz w:val="24"/>
                      <w:szCs w:val="24"/>
                      <w:lang w:val="sv-SE"/>
                    </w:rPr>
                  </w:pPr>
                  <w:r>
                    <w:rPr>
                      <w:b/>
                      <w:color w:val="FFFFFF" w:themeColor="background1"/>
                      <w:sz w:val="24"/>
                      <w:szCs w:val="24"/>
                    </w:rPr>
                    <w:t>Meningkatkan tata pemerintahan yang baik, bersih dan profesional</w:t>
                  </w:r>
                  <w:r>
                    <w:rPr>
                      <w:rFonts w:cs="Tahoma"/>
                      <w:b/>
                      <w:color w:val="FFFFFF" w:themeColor="background1"/>
                      <w:sz w:val="24"/>
                      <w:szCs w:val="24"/>
                      <w:lang w:val="sv-SE"/>
                    </w:rPr>
                    <w:t>.</w:t>
                  </w:r>
                </w:p>
                <w:p w:rsidR="00815898" w:rsidRDefault="00815898">
                  <w:pPr>
                    <w:pStyle w:val="ListParagraph"/>
                    <w:numPr>
                      <w:ilvl w:val="0"/>
                      <w:numId w:val="6"/>
                    </w:numPr>
                    <w:spacing w:after="0" w:line="360" w:lineRule="auto"/>
                    <w:contextualSpacing w:val="0"/>
                    <w:jc w:val="both"/>
                    <w:rPr>
                      <w:rFonts w:cs="Tahoma"/>
                      <w:b/>
                      <w:color w:val="FFFFFF" w:themeColor="background1"/>
                      <w:sz w:val="24"/>
                      <w:szCs w:val="24"/>
                      <w:lang w:val="sv-SE"/>
                    </w:rPr>
                  </w:pPr>
                  <w:r>
                    <w:rPr>
                      <w:b/>
                      <w:color w:val="FFFFFF" w:themeColor="background1"/>
                      <w:sz w:val="24"/>
                      <w:szCs w:val="24"/>
                    </w:rPr>
                    <w:t xml:space="preserve">Mewujudkan stabilitas masyarakat yang kondusif untuk mendukung terciptanya ketahanan bangsa di Sumatera Barat </w:t>
                  </w:r>
                </w:p>
                <w:p w:rsidR="00815898" w:rsidRDefault="00815898">
                  <w:pPr>
                    <w:pStyle w:val="ListParagraph"/>
                    <w:numPr>
                      <w:ilvl w:val="0"/>
                      <w:numId w:val="6"/>
                    </w:numPr>
                    <w:spacing w:after="0" w:line="360" w:lineRule="auto"/>
                    <w:contextualSpacing w:val="0"/>
                    <w:jc w:val="both"/>
                    <w:rPr>
                      <w:rFonts w:cs="Tahoma"/>
                      <w:b/>
                      <w:color w:val="FFFFFF" w:themeColor="background1"/>
                      <w:sz w:val="24"/>
                      <w:szCs w:val="24"/>
                      <w:lang w:val="sv-SE"/>
                    </w:rPr>
                  </w:pPr>
                  <w:r>
                    <w:rPr>
                      <w:b/>
                      <w:color w:val="FFFFFF" w:themeColor="background1"/>
                      <w:sz w:val="24"/>
                      <w:szCs w:val="24"/>
                    </w:rPr>
                    <w:t xml:space="preserve">Meningkatkan stabilitas politik di Sumatera Barat </w:t>
                  </w:r>
                </w:p>
              </w:txbxContent>
            </v:textbox>
          </v:shape>
        </w:pict>
      </w:r>
    </w:p>
    <w:p w:rsidR="007335FD" w:rsidRDefault="007335FD">
      <w:pPr>
        <w:autoSpaceDE w:val="0"/>
        <w:autoSpaceDN w:val="0"/>
        <w:adjustRightInd w:val="0"/>
        <w:spacing w:after="0" w:line="360" w:lineRule="auto"/>
        <w:ind w:firstLine="720"/>
        <w:rPr>
          <w:rFonts w:ascii="Aparajita" w:hAnsi="Aparajita" w:cs="Aparajita"/>
          <w:sz w:val="24"/>
          <w:szCs w:val="24"/>
        </w:rPr>
      </w:pPr>
    </w:p>
    <w:p w:rsidR="007335FD" w:rsidRDefault="007335FD">
      <w:pPr>
        <w:autoSpaceDE w:val="0"/>
        <w:autoSpaceDN w:val="0"/>
        <w:adjustRightInd w:val="0"/>
        <w:spacing w:after="0" w:line="360" w:lineRule="auto"/>
        <w:ind w:firstLine="720"/>
        <w:rPr>
          <w:rFonts w:ascii="Berlin Sans FB" w:hAnsi="Berlin Sans FB" w:cs="Arial"/>
          <w:sz w:val="24"/>
          <w:szCs w:val="24"/>
        </w:rPr>
      </w:pPr>
    </w:p>
    <w:p w:rsidR="007335FD" w:rsidRDefault="007335FD">
      <w:pPr>
        <w:autoSpaceDE w:val="0"/>
        <w:autoSpaceDN w:val="0"/>
        <w:adjustRightInd w:val="0"/>
        <w:spacing w:after="0" w:line="360" w:lineRule="auto"/>
        <w:ind w:firstLine="720"/>
        <w:rPr>
          <w:rFonts w:ascii="Berlin Sans FB" w:hAnsi="Berlin Sans FB" w:cs="Arial"/>
          <w:sz w:val="24"/>
          <w:szCs w:val="24"/>
        </w:rPr>
      </w:pPr>
    </w:p>
    <w:p w:rsidR="007335FD" w:rsidRDefault="007335FD">
      <w:pPr>
        <w:spacing w:line="360" w:lineRule="auto"/>
        <w:jc w:val="both"/>
        <w:rPr>
          <w:rFonts w:ascii="Segoe UI Black" w:hAnsi="Segoe UI Black" w:cs="Segoe UI Black"/>
          <w:b/>
          <w:bCs/>
          <w:sz w:val="24"/>
          <w:szCs w:val="24"/>
        </w:rPr>
      </w:pP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t>2.1.3 Tujuan dan Sasaran</w:t>
      </w:r>
    </w:p>
    <w:p w:rsidR="007335FD" w:rsidRDefault="00815898">
      <w:pPr>
        <w:autoSpaceDE w:val="0"/>
        <w:autoSpaceDN w:val="0"/>
        <w:adjustRightInd w:val="0"/>
        <w:spacing w:after="0" w:line="360" w:lineRule="auto"/>
        <w:ind w:leftChars="200" w:left="440" w:firstLine="660"/>
        <w:jc w:val="both"/>
        <w:rPr>
          <w:rFonts w:cs="Aparajita"/>
          <w:sz w:val="24"/>
          <w:szCs w:val="24"/>
        </w:rPr>
      </w:pPr>
      <w:r>
        <w:rPr>
          <w:rFonts w:cs="Aparajita"/>
          <w:sz w:val="24"/>
          <w:szCs w:val="24"/>
        </w:rPr>
        <w:t xml:space="preserve">Tujuan adalah sesuatu yang </w:t>
      </w:r>
      <w:proofErr w:type="gramStart"/>
      <w:r>
        <w:rPr>
          <w:rFonts w:cs="Aparajita"/>
          <w:sz w:val="24"/>
          <w:szCs w:val="24"/>
        </w:rPr>
        <w:t>akan</w:t>
      </w:r>
      <w:proofErr w:type="gramEnd"/>
      <w:r>
        <w:rPr>
          <w:rFonts w:cs="Aparajita"/>
          <w:sz w:val="24"/>
          <w:szCs w:val="24"/>
        </w:rPr>
        <w:t xml:space="preserve"> dicapai atau dihasilkan dalam jangka waktu satu sampai dengan lima tahun. </w:t>
      </w:r>
      <w:proofErr w:type="gramStart"/>
      <w:r>
        <w:rPr>
          <w:rFonts w:cs="Aparajita"/>
          <w:sz w:val="24"/>
          <w:szCs w:val="24"/>
        </w:rPr>
        <w:t>Berdasarkan visi, misi telah dirumuskan tujuan dan sasaran yang ingin dicapai oleh Badan Kesatuan Bangsa dan Politik Provinsi Sumatera Barat tahun 2016-2021.</w:t>
      </w:r>
      <w:proofErr w:type="gramEnd"/>
      <w:r>
        <w:rPr>
          <w:rFonts w:cs="Aparajita"/>
          <w:sz w:val="24"/>
          <w:szCs w:val="24"/>
        </w:rPr>
        <w:t xml:space="preserve"> Hubungan antara Visi, Misi, Tujuan dan Sasaran dapat dilihat pada tabel berikut </w:t>
      </w:r>
      <w:proofErr w:type="gramStart"/>
      <w:r>
        <w:rPr>
          <w:rFonts w:cs="Aparajita"/>
          <w:sz w:val="24"/>
          <w:szCs w:val="24"/>
        </w:rPr>
        <w:t>ini :</w:t>
      </w:r>
      <w:proofErr w:type="gramEnd"/>
      <w:r>
        <w:rPr>
          <w:rFonts w:cs="Aparajita"/>
          <w:sz w:val="24"/>
          <w:szCs w:val="24"/>
        </w:rPr>
        <w:t xml:space="preserve"> </w:t>
      </w:r>
    </w:p>
    <w:p w:rsidR="007335FD" w:rsidRDefault="007335FD">
      <w:pPr>
        <w:autoSpaceDE w:val="0"/>
        <w:autoSpaceDN w:val="0"/>
        <w:adjustRightInd w:val="0"/>
        <w:spacing w:after="0" w:line="360" w:lineRule="auto"/>
        <w:ind w:firstLine="720"/>
        <w:jc w:val="both"/>
        <w:rPr>
          <w:rFonts w:cs="Aparajita"/>
          <w:sz w:val="24"/>
          <w:szCs w:val="24"/>
        </w:rPr>
      </w:pPr>
    </w:p>
    <w:p w:rsidR="007335FD" w:rsidRDefault="00815898">
      <w:pPr>
        <w:spacing w:before="360" w:after="120"/>
        <w:contextualSpacing/>
        <w:jc w:val="center"/>
        <w:rPr>
          <w:rFonts w:eastAsia="Batang" w:hAnsi="Berlin Sans FB Demi" w:cs="Andalus"/>
          <w:b/>
          <w:bCs/>
          <w:sz w:val="24"/>
          <w:szCs w:val="24"/>
        </w:rPr>
      </w:pPr>
      <w:r>
        <w:rPr>
          <w:rFonts w:eastAsia="Batang" w:hAnsi="Berlin Sans FB Demi" w:cs="Andalus"/>
          <w:b/>
          <w:bCs/>
          <w:sz w:val="24"/>
          <w:szCs w:val="24"/>
        </w:rPr>
        <w:t>Tabel 2.1</w:t>
      </w:r>
    </w:p>
    <w:p w:rsidR="007335FD" w:rsidRDefault="00815898">
      <w:pPr>
        <w:spacing w:before="360" w:after="120"/>
        <w:contextualSpacing/>
        <w:jc w:val="center"/>
        <w:rPr>
          <w:rFonts w:eastAsia="Batang" w:hAnsi="Berlin Sans FB Demi" w:cs="Andalus"/>
          <w:b/>
          <w:bCs/>
          <w:sz w:val="24"/>
          <w:szCs w:val="24"/>
        </w:rPr>
      </w:pPr>
      <w:r>
        <w:rPr>
          <w:rFonts w:eastAsia="Batang" w:hAnsi="Berlin Sans FB Demi" w:cs="Andalus"/>
          <w:b/>
          <w:bCs/>
          <w:sz w:val="24"/>
          <w:szCs w:val="24"/>
        </w:rPr>
        <w:t>Hubungan Hierarkis Visi</w:t>
      </w:r>
      <w:proofErr w:type="gramStart"/>
      <w:r>
        <w:rPr>
          <w:rFonts w:eastAsia="Batang" w:hAnsi="Berlin Sans FB Demi" w:cs="Andalus"/>
          <w:b/>
          <w:bCs/>
          <w:sz w:val="24"/>
          <w:szCs w:val="24"/>
        </w:rPr>
        <w:t>,Misi</w:t>
      </w:r>
      <w:proofErr w:type="gramEnd"/>
      <w:r>
        <w:rPr>
          <w:rFonts w:eastAsia="Batang" w:hAnsi="Berlin Sans FB Demi" w:cs="Andalus"/>
          <w:b/>
          <w:bCs/>
          <w:sz w:val="24"/>
          <w:szCs w:val="24"/>
        </w:rPr>
        <w:t>, Tujuan dan Sasaran</w:t>
      </w:r>
    </w:p>
    <w:p w:rsidR="007335FD" w:rsidRDefault="007335FD">
      <w:pPr>
        <w:spacing w:before="360" w:after="120"/>
        <w:contextualSpacing/>
        <w:jc w:val="center"/>
        <w:rPr>
          <w:rFonts w:eastAsia="Batang" w:hAnsi="Berlin Sans FB Demi" w:cs="Andalus"/>
          <w:b/>
          <w:bCs/>
          <w:sz w:val="24"/>
          <w:szCs w:val="24"/>
        </w:rPr>
      </w:pPr>
    </w:p>
    <w:tbl>
      <w:tblPr>
        <w:tblStyle w:val="TableGrid"/>
        <w:tblW w:w="9214" w:type="dxa"/>
        <w:tblInd w:w="108" w:type="dxa"/>
        <w:tblLayout w:type="fixed"/>
        <w:tblLook w:val="04A0" w:firstRow="1" w:lastRow="0" w:firstColumn="1" w:lastColumn="0" w:noHBand="0" w:noVBand="1"/>
      </w:tblPr>
      <w:tblGrid>
        <w:gridCol w:w="504"/>
        <w:gridCol w:w="2572"/>
        <w:gridCol w:w="3728"/>
        <w:gridCol w:w="2410"/>
      </w:tblGrid>
      <w:tr w:rsidR="007335FD">
        <w:tc>
          <w:tcPr>
            <w:tcW w:w="9214" w:type="dxa"/>
            <w:gridSpan w:val="4"/>
            <w:shd w:val="clear" w:color="auto" w:fill="C00000"/>
            <w:vAlign w:val="center"/>
          </w:tcPr>
          <w:p w:rsidR="007335FD" w:rsidRDefault="00815898">
            <w:pPr>
              <w:autoSpaceDE w:val="0"/>
              <w:autoSpaceDN w:val="0"/>
              <w:adjustRightInd w:val="0"/>
              <w:spacing w:line="360" w:lineRule="auto"/>
              <w:ind w:left="601" w:hanging="601"/>
              <w:jc w:val="both"/>
              <w:rPr>
                <w:rFonts w:cs="Aparajita"/>
                <w:b/>
                <w:color w:val="FFFFFF" w:themeColor="background1"/>
                <w:sz w:val="24"/>
                <w:szCs w:val="24"/>
              </w:rPr>
            </w:pPr>
            <w:r>
              <w:rPr>
                <w:rFonts w:cs="Aparajita"/>
                <w:b/>
                <w:color w:val="FFFFFF" w:themeColor="background1"/>
                <w:sz w:val="24"/>
                <w:szCs w:val="24"/>
              </w:rPr>
              <w:t>Visi :</w:t>
            </w:r>
            <w:r>
              <w:rPr>
                <w:rFonts w:cs="Tahoma"/>
                <w:b/>
                <w:color w:val="FFFFFF" w:themeColor="background1"/>
                <w:lang w:val="sv-SE"/>
              </w:rPr>
              <w:t xml:space="preserve"> </w:t>
            </w:r>
            <w:r>
              <w:rPr>
                <w:rFonts w:cs="Aparajita"/>
                <w:b/>
                <w:color w:val="FFFFFF" w:themeColor="background1"/>
                <w:sz w:val="24"/>
                <w:szCs w:val="24"/>
                <w:lang w:val="sv-SE"/>
              </w:rPr>
              <w:t>Terwujudnya Kehidupan Masyarakat Sumatera Barat Yang Aman, Demokratis,  Bersatu Berdasarkan Pancasila Dan UUD 1945</w:t>
            </w:r>
          </w:p>
        </w:tc>
      </w:tr>
      <w:tr w:rsidR="007335FD">
        <w:tc>
          <w:tcPr>
            <w:tcW w:w="504" w:type="dxa"/>
            <w:tcBorders>
              <w:bottom w:val="single" w:sz="4" w:space="0" w:color="auto"/>
            </w:tcBorders>
            <w:shd w:val="clear" w:color="auto" w:fill="C00000"/>
            <w:vAlign w:val="center"/>
          </w:tcPr>
          <w:p w:rsidR="007335FD" w:rsidRDefault="00815898">
            <w:pPr>
              <w:pStyle w:val="NoSpacing"/>
              <w:jc w:val="center"/>
              <w:rPr>
                <w:rFonts w:cs="Aparajita"/>
                <w:b/>
                <w:sz w:val="24"/>
                <w:szCs w:val="24"/>
              </w:rPr>
            </w:pPr>
            <w:r>
              <w:rPr>
                <w:rFonts w:cs="Aparajita"/>
                <w:b/>
                <w:sz w:val="24"/>
                <w:szCs w:val="24"/>
              </w:rPr>
              <w:t>No</w:t>
            </w:r>
          </w:p>
        </w:tc>
        <w:tc>
          <w:tcPr>
            <w:tcW w:w="2572" w:type="dxa"/>
            <w:tcBorders>
              <w:bottom w:val="single" w:sz="4" w:space="0" w:color="auto"/>
            </w:tcBorders>
            <w:shd w:val="clear" w:color="auto" w:fill="C00000"/>
            <w:vAlign w:val="center"/>
          </w:tcPr>
          <w:p w:rsidR="007335FD" w:rsidRDefault="00815898">
            <w:pPr>
              <w:pStyle w:val="NoSpacing"/>
              <w:jc w:val="center"/>
              <w:rPr>
                <w:rFonts w:cs="Aparajita"/>
                <w:b/>
                <w:sz w:val="24"/>
                <w:szCs w:val="24"/>
              </w:rPr>
            </w:pPr>
            <w:r>
              <w:rPr>
                <w:rFonts w:cs="Aparajita"/>
                <w:b/>
                <w:sz w:val="24"/>
                <w:szCs w:val="24"/>
              </w:rPr>
              <w:t>MISI</w:t>
            </w:r>
          </w:p>
        </w:tc>
        <w:tc>
          <w:tcPr>
            <w:tcW w:w="3728" w:type="dxa"/>
            <w:tcBorders>
              <w:bottom w:val="single" w:sz="4" w:space="0" w:color="auto"/>
            </w:tcBorders>
            <w:shd w:val="clear" w:color="auto" w:fill="C00000"/>
            <w:vAlign w:val="center"/>
          </w:tcPr>
          <w:p w:rsidR="007335FD" w:rsidRDefault="00815898">
            <w:pPr>
              <w:pStyle w:val="NoSpacing"/>
              <w:jc w:val="center"/>
              <w:rPr>
                <w:rFonts w:cs="Aparajita"/>
                <w:b/>
                <w:sz w:val="24"/>
                <w:szCs w:val="24"/>
              </w:rPr>
            </w:pPr>
            <w:r>
              <w:rPr>
                <w:rFonts w:cs="Aparajita"/>
                <w:b/>
                <w:sz w:val="24"/>
                <w:szCs w:val="24"/>
              </w:rPr>
              <w:t>TUJUAN</w:t>
            </w:r>
          </w:p>
        </w:tc>
        <w:tc>
          <w:tcPr>
            <w:tcW w:w="2410" w:type="dxa"/>
            <w:tcBorders>
              <w:bottom w:val="single" w:sz="4" w:space="0" w:color="auto"/>
            </w:tcBorders>
            <w:shd w:val="clear" w:color="auto" w:fill="C00000"/>
            <w:vAlign w:val="center"/>
          </w:tcPr>
          <w:p w:rsidR="007335FD" w:rsidRDefault="00815898">
            <w:pPr>
              <w:pStyle w:val="NoSpacing"/>
              <w:jc w:val="center"/>
              <w:rPr>
                <w:rFonts w:cs="Aparajita"/>
                <w:b/>
                <w:sz w:val="24"/>
                <w:szCs w:val="24"/>
              </w:rPr>
            </w:pPr>
            <w:r>
              <w:rPr>
                <w:rFonts w:cs="Aparajita"/>
                <w:b/>
                <w:sz w:val="24"/>
                <w:szCs w:val="24"/>
              </w:rPr>
              <w:t>SASARAN</w:t>
            </w:r>
          </w:p>
        </w:tc>
      </w:tr>
      <w:tr w:rsidR="007335FD">
        <w:tc>
          <w:tcPr>
            <w:tcW w:w="504" w:type="dxa"/>
            <w:shd w:val="clear" w:color="auto" w:fill="auto"/>
          </w:tcPr>
          <w:p w:rsidR="007335FD" w:rsidRDefault="00815898">
            <w:pPr>
              <w:pStyle w:val="NoSpacing"/>
              <w:rPr>
                <w:rFonts w:cs="Aparajita"/>
                <w:sz w:val="24"/>
                <w:szCs w:val="24"/>
              </w:rPr>
            </w:pPr>
            <w:r>
              <w:rPr>
                <w:rFonts w:cs="Aparajita"/>
                <w:sz w:val="24"/>
                <w:szCs w:val="24"/>
              </w:rPr>
              <w:t>1</w:t>
            </w:r>
          </w:p>
        </w:tc>
        <w:tc>
          <w:tcPr>
            <w:tcW w:w="2572" w:type="dxa"/>
            <w:shd w:val="clear" w:color="auto" w:fill="auto"/>
          </w:tcPr>
          <w:p w:rsidR="007335FD" w:rsidRDefault="00815898">
            <w:pPr>
              <w:pStyle w:val="NoSpacing"/>
              <w:jc w:val="left"/>
              <w:rPr>
                <w:rFonts w:cs="Tahoma"/>
                <w:sz w:val="24"/>
                <w:szCs w:val="24"/>
                <w:lang w:val="sv-SE"/>
              </w:rPr>
            </w:pPr>
            <w:r>
              <w:rPr>
                <w:sz w:val="24"/>
                <w:szCs w:val="24"/>
              </w:rPr>
              <w:t>Meningkatkan tata pemerintahan yang baik, bersih dan profesional</w:t>
            </w:r>
            <w:r>
              <w:rPr>
                <w:rFonts w:cs="Tahoma"/>
                <w:sz w:val="24"/>
                <w:szCs w:val="24"/>
                <w:lang w:val="sv-SE"/>
              </w:rPr>
              <w:t>.</w:t>
            </w:r>
          </w:p>
          <w:p w:rsidR="007335FD" w:rsidRDefault="007335FD">
            <w:pPr>
              <w:pStyle w:val="NoSpacing"/>
              <w:jc w:val="left"/>
              <w:rPr>
                <w:rFonts w:cs="Aparajita"/>
                <w:sz w:val="24"/>
                <w:szCs w:val="24"/>
              </w:rPr>
            </w:pPr>
          </w:p>
        </w:tc>
        <w:tc>
          <w:tcPr>
            <w:tcW w:w="3728"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 xml:space="preserve">Terwujudnya tata kelola pemerintahan yang efektif dan efisien  </w:t>
            </w:r>
          </w:p>
          <w:p w:rsidR="007335FD" w:rsidRDefault="007335FD">
            <w:pPr>
              <w:pStyle w:val="NoSpacing"/>
              <w:jc w:val="left"/>
              <w:rPr>
                <w:rFonts w:cs="Aparajita"/>
                <w:sz w:val="24"/>
                <w:szCs w:val="24"/>
                <w:lang w:val="sv-SE"/>
              </w:rPr>
            </w:pPr>
          </w:p>
          <w:p w:rsidR="007335FD" w:rsidRDefault="007335FD">
            <w:pPr>
              <w:pStyle w:val="NoSpacing"/>
              <w:rPr>
                <w:rFonts w:cs="Aparajita"/>
                <w:sz w:val="24"/>
                <w:szCs w:val="24"/>
              </w:rPr>
            </w:pPr>
          </w:p>
        </w:tc>
        <w:tc>
          <w:tcPr>
            <w:tcW w:w="2410" w:type="dxa"/>
            <w:shd w:val="clear" w:color="auto" w:fill="auto"/>
          </w:tcPr>
          <w:p w:rsidR="007335FD" w:rsidRDefault="00815898">
            <w:pPr>
              <w:pStyle w:val="NoSpacing"/>
              <w:jc w:val="left"/>
              <w:rPr>
                <w:rFonts w:cs="Aparajita"/>
                <w:sz w:val="24"/>
                <w:szCs w:val="24"/>
              </w:rPr>
            </w:pPr>
            <w:r>
              <w:rPr>
                <w:rFonts w:cs="Aparajita"/>
                <w:sz w:val="24"/>
                <w:szCs w:val="24"/>
              </w:rPr>
              <w:t>Meningkatnya tata kelola organisasi</w:t>
            </w:r>
          </w:p>
        </w:tc>
      </w:tr>
      <w:tr w:rsidR="007335FD">
        <w:trPr>
          <w:trHeight w:val="890"/>
        </w:trPr>
        <w:tc>
          <w:tcPr>
            <w:tcW w:w="504" w:type="dxa"/>
            <w:shd w:val="clear" w:color="auto" w:fill="auto"/>
          </w:tcPr>
          <w:p w:rsidR="007335FD" w:rsidRDefault="00815898">
            <w:pPr>
              <w:pStyle w:val="NoSpacing"/>
              <w:rPr>
                <w:rFonts w:cs="Aparajita"/>
                <w:sz w:val="24"/>
                <w:szCs w:val="24"/>
              </w:rPr>
            </w:pPr>
            <w:r>
              <w:rPr>
                <w:rFonts w:cs="Aparajita"/>
                <w:sz w:val="24"/>
                <w:szCs w:val="24"/>
              </w:rPr>
              <w:t>2</w:t>
            </w:r>
          </w:p>
        </w:tc>
        <w:tc>
          <w:tcPr>
            <w:tcW w:w="2572"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 xml:space="preserve">Mewujudkan stabilitas masyarakat yang kondusif untuk mendukung terciptanya ketahanan bangsa di Sumatera Barat </w:t>
            </w:r>
          </w:p>
          <w:p w:rsidR="007335FD" w:rsidRDefault="007335FD">
            <w:pPr>
              <w:pStyle w:val="NoSpacing"/>
              <w:jc w:val="left"/>
              <w:rPr>
                <w:rFonts w:cs="Aparajita"/>
                <w:sz w:val="24"/>
                <w:szCs w:val="24"/>
                <w:lang w:val="sv-SE"/>
              </w:rPr>
            </w:pPr>
          </w:p>
        </w:tc>
        <w:tc>
          <w:tcPr>
            <w:tcW w:w="3728" w:type="dxa"/>
            <w:shd w:val="clear" w:color="auto" w:fill="auto"/>
          </w:tcPr>
          <w:p w:rsidR="007335FD" w:rsidRDefault="00815898">
            <w:pPr>
              <w:pStyle w:val="NoSpacing"/>
              <w:rPr>
                <w:rFonts w:cs="Aparajita"/>
                <w:sz w:val="24"/>
                <w:szCs w:val="24"/>
              </w:rPr>
            </w:pPr>
            <w:r>
              <w:rPr>
                <w:color w:val="000000" w:themeColor="text1"/>
                <w:sz w:val="24"/>
                <w:szCs w:val="24"/>
              </w:rPr>
              <w:t>Terwujudnya stabiltas keamanan di Sumatera Barat</w:t>
            </w:r>
          </w:p>
        </w:tc>
        <w:tc>
          <w:tcPr>
            <w:tcW w:w="2410"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Meningkatnya keamanan, ketentraman dan ketertiban masyarakat</w:t>
            </w:r>
          </w:p>
          <w:p w:rsidR="007335FD" w:rsidRDefault="007335FD">
            <w:pPr>
              <w:pStyle w:val="NoSpacing"/>
              <w:jc w:val="center"/>
              <w:rPr>
                <w:color w:val="000000" w:themeColor="text1"/>
              </w:rPr>
            </w:pPr>
          </w:p>
          <w:p w:rsidR="007335FD" w:rsidRDefault="007335FD">
            <w:pPr>
              <w:pStyle w:val="NoSpacing"/>
              <w:ind w:left="-3"/>
              <w:jc w:val="left"/>
              <w:rPr>
                <w:rFonts w:cs="Aparajita"/>
                <w:sz w:val="24"/>
                <w:szCs w:val="24"/>
              </w:rPr>
            </w:pPr>
          </w:p>
        </w:tc>
      </w:tr>
      <w:tr w:rsidR="007335FD">
        <w:tc>
          <w:tcPr>
            <w:tcW w:w="504" w:type="dxa"/>
            <w:shd w:val="clear" w:color="auto" w:fill="auto"/>
          </w:tcPr>
          <w:p w:rsidR="007335FD" w:rsidRDefault="00815898">
            <w:pPr>
              <w:pStyle w:val="NoSpacing"/>
              <w:rPr>
                <w:rFonts w:cs="Aparajita"/>
                <w:sz w:val="24"/>
                <w:szCs w:val="24"/>
              </w:rPr>
            </w:pPr>
            <w:r>
              <w:rPr>
                <w:rFonts w:cs="Aparajita"/>
                <w:sz w:val="24"/>
                <w:szCs w:val="24"/>
              </w:rPr>
              <w:t>3</w:t>
            </w:r>
          </w:p>
        </w:tc>
        <w:tc>
          <w:tcPr>
            <w:tcW w:w="2572"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 xml:space="preserve">Meningkatkan stabilitas politik di Sumatera Barat </w:t>
            </w:r>
          </w:p>
          <w:p w:rsidR="007335FD" w:rsidRDefault="007335FD">
            <w:pPr>
              <w:pStyle w:val="NoSpacing"/>
              <w:jc w:val="left"/>
              <w:rPr>
                <w:rFonts w:cs="Aparajita"/>
                <w:sz w:val="24"/>
                <w:szCs w:val="24"/>
              </w:rPr>
            </w:pPr>
          </w:p>
        </w:tc>
        <w:tc>
          <w:tcPr>
            <w:tcW w:w="3728"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Terwujudnya situasi dan kondisi politik yang demokratis</w:t>
            </w:r>
          </w:p>
          <w:p w:rsidR="007335FD" w:rsidRDefault="007335FD">
            <w:pPr>
              <w:pStyle w:val="NoSpacing"/>
              <w:rPr>
                <w:rFonts w:cs="Aparajita"/>
                <w:sz w:val="24"/>
                <w:szCs w:val="24"/>
              </w:rPr>
            </w:pPr>
          </w:p>
        </w:tc>
        <w:tc>
          <w:tcPr>
            <w:tcW w:w="2410"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Meningkatnya kualitas demokrasi di Sumatera Barat</w:t>
            </w:r>
          </w:p>
          <w:p w:rsidR="007335FD" w:rsidRDefault="007335FD">
            <w:pPr>
              <w:pStyle w:val="NoSpacing"/>
              <w:jc w:val="left"/>
              <w:rPr>
                <w:rFonts w:cs="Aparajita"/>
                <w:sz w:val="24"/>
                <w:szCs w:val="24"/>
              </w:rPr>
            </w:pPr>
          </w:p>
        </w:tc>
      </w:tr>
    </w:tbl>
    <w:p w:rsidR="007335FD" w:rsidRDefault="007335FD">
      <w:pPr>
        <w:spacing w:before="360" w:after="120"/>
        <w:contextualSpacing/>
        <w:jc w:val="center"/>
        <w:rPr>
          <w:rFonts w:eastAsia="Batang" w:hAnsi="Berlin Sans FB Demi" w:cs="Andalus"/>
          <w:b/>
          <w:bCs/>
          <w:sz w:val="24"/>
          <w:szCs w:val="24"/>
        </w:rPr>
      </w:pPr>
    </w:p>
    <w:p w:rsidR="007335FD" w:rsidRDefault="00815898">
      <w:pPr>
        <w:spacing w:line="360" w:lineRule="auto"/>
        <w:jc w:val="both"/>
        <w:rPr>
          <w:rFonts w:ascii="Segoe UI Black" w:hAnsi="Segoe UI Black" w:cs="Segoe UI Black"/>
          <w:b/>
          <w:bCs/>
          <w:sz w:val="24"/>
          <w:szCs w:val="24"/>
        </w:rPr>
      </w:pPr>
      <w:r>
        <w:rPr>
          <w:rFonts w:ascii="Segoe UI Black" w:hAnsi="Segoe UI Black" w:cs="Segoe UI Black"/>
          <w:b/>
          <w:bCs/>
          <w:sz w:val="24"/>
          <w:szCs w:val="24"/>
        </w:rPr>
        <w:t xml:space="preserve">2.1.4 Strategi dan Arah Kebijakan </w:t>
      </w:r>
    </w:p>
    <w:p w:rsidR="007335FD" w:rsidRDefault="00815898">
      <w:pPr>
        <w:pStyle w:val="BodyTextIndent2"/>
        <w:ind w:left="447" w:firstLineChars="271" w:firstLine="650"/>
        <w:rPr>
          <w:rFonts w:hAnsi="Tahoma" w:cs="Tahoma"/>
          <w:sz w:val="24"/>
          <w:szCs w:val="24"/>
        </w:rPr>
      </w:pPr>
      <w:r>
        <w:rPr>
          <w:rFonts w:hAnsi="Tahoma" w:cs="Tahoma"/>
          <w:sz w:val="24"/>
          <w:szCs w:val="24"/>
        </w:rPr>
        <w:t>Untuk mewujudkan visi, misi, tujuan dan sasaran Badan Kesatuan Bangsa dan Politik Provinsi Sumatera Barat tahun 2016-2021 disusun strategi sebagai berikut:</w:t>
      </w:r>
    </w:p>
    <w:p w:rsidR="007335FD" w:rsidRDefault="00815898">
      <w:pPr>
        <w:pStyle w:val="NoSpacing"/>
        <w:numPr>
          <w:ilvl w:val="0"/>
          <w:numId w:val="7"/>
        </w:numPr>
        <w:spacing w:line="360" w:lineRule="auto"/>
        <w:ind w:left="880"/>
        <w:rPr>
          <w:sz w:val="24"/>
          <w:szCs w:val="24"/>
        </w:rPr>
      </w:pPr>
      <w:r>
        <w:rPr>
          <w:sz w:val="24"/>
          <w:szCs w:val="24"/>
        </w:rPr>
        <w:t>Men</w:t>
      </w:r>
      <w:r>
        <w:rPr>
          <w:sz w:val="24"/>
          <w:szCs w:val="24"/>
          <w:lang w:val="id-ID"/>
        </w:rPr>
        <w:t>ingkatkan kemampuan dalam perencanaan kontijensi serta mengatasi berbagai konflik dalam kehidupan bermasyarakat yang mengarah kepada gangguan dan ancaman terhadap ketentraman masyarakat.</w:t>
      </w:r>
    </w:p>
    <w:p w:rsidR="007335FD" w:rsidRDefault="00815898">
      <w:pPr>
        <w:pStyle w:val="NoSpacing"/>
        <w:numPr>
          <w:ilvl w:val="0"/>
          <w:numId w:val="7"/>
        </w:numPr>
        <w:spacing w:line="360" w:lineRule="auto"/>
        <w:ind w:left="880"/>
        <w:rPr>
          <w:sz w:val="24"/>
          <w:szCs w:val="24"/>
        </w:rPr>
      </w:pPr>
      <w:r>
        <w:rPr>
          <w:sz w:val="24"/>
          <w:szCs w:val="24"/>
          <w:lang w:val="id-ID"/>
        </w:rPr>
        <w:t>Meningkatkan pengawasan dan antisipasi kemungkinan terjadinya ekses dari keberadaan/ kehadiran orang asing di Sumatera Barat</w:t>
      </w:r>
    </w:p>
    <w:p w:rsidR="007335FD" w:rsidRDefault="00815898">
      <w:pPr>
        <w:pStyle w:val="NoSpacing"/>
        <w:numPr>
          <w:ilvl w:val="0"/>
          <w:numId w:val="7"/>
        </w:numPr>
        <w:spacing w:line="360" w:lineRule="auto"/>
        <w:ind w:left="880"/>
        <w:rPr>
          <w:sz w:val="24"/>
          <w:szCs w:val="24"/>
        </w:rPr>
      </w:pPr>
      <w:r>
        <w:rPr>
          <w:sz w:val="24"/>
          <w:szCs w:val="24"/>
          <w:lang w:val="id-ID"/>
        </w:rPr>
        <w:t>Meningkatkan pemantapan koordinasi dalam rangka pemantapan dan pengawasan organisasi aliran kepercayaan masyarakat</w:t>
      </w:r>
      <w:r>
        <w:rPr>
          <w:sz w:val="24"/>
          <w:szCs w:val="24"/>
        </w:rPr>
        <w:t>.</w:t>
      </w:r>
    </w:p>
    <w:p w:rsidR="007335FD" w:rsidRDefault="00815898">
      <w:pPr>
        <w:pStyle w:val="NoSpacing"/>
        <w:numPr>
          <w:ilvl w:val="0"/>
          <w:numId w:val="7"/>
        </w:numPr>
        <w:spacing w:line="360" w:lineRule="auto"/>
        <w:ind w:left="880"/>
        <w:rPr>
          <w:sz w:val="24"/>
          <w:szCs w:val="24"/>
        </w:rPr>
      </w:pPr>
      <w:r>
        <w:rPr>
          <w:sz w:val="24"/>
          <w:szCs w:val="24"/>
          <w:lang w:val="id-ID"/>
        </w:rPr>
        <w:t>Meningkatkan kerukunan antar umat beragama yang dialandasi toleransi, saling menghormati dalam pengamalan ajaran agama</w:t>
      </w:r>
    </w:p>
    <w:p w:rsidR="007335FD" w:rsidRDefault="00815898">
      <w:pPr>
        <w:pStyle w:val="NoSpacing"/>
        <w:numPr>
          <w:ilvl w:val="0"/>
          <w:numId w:val="7"/>
        </w:numPr>
        <w:spacing w:line="360" w:lineRule="auto"/>
        <w:ind w:left="880"/>
        <w:rPr>
          <w:sz w:val="24"/>
          <w:szCs w:val="24"/>
        </w:rPr>
      </w:pPr>
      <w:r>
        <w:rPr>
          <w:sz w:val="24"/>
          <w:szCs w:val="24"/>
          <w:lang w:val="id-ID"/>
        </w:rPr>
        <w:lastRenderedPageBreak/>
        <w:t>Meningkatkan koordinasi dan evaluasi ketahanan ekonomi daam rangka menjaga keamanan dan ketertiban yang diakibatkan oleh gejolak ekonomi dalam kehidupan masyarakat</w:t>
      </w:r>
      <w:r>
        <w:rPr>
          <w:sz w:val="24"/>
          <w:szCs w:val="24"/>
        </w:rPr>
        <w:t>.</w:t>
      </w:r>
    </w:p>
    <w:p w:rsidR="007335FD" w:rsidRDefault="00815898">
      <w:pPr>
        <w:pStyle w:val="NoSpacing"/>
        <w:numPr>
          <w:ilvl w:val="0"/>
          <w:numId w:val="7"/>
        </w:numPr>
        <w:spacing w:line="360" w:lineRule="auto"/>
        <w:ind w:left="880"/>
        <w:rPr>
          <w:sz w:val="24"/>
          <w:szCs w:val="24"/>
        </w:rPr>
      </w:pPr>
      <w:r>
        <w:rPr>
          <w:sz w:val="24"/>
          <w:szCs w:val="24"/>
        </w:rPr>
        <w:t>Men</w:t>
      </w:r>
      <w:r>
        <w:rPr>
          <w:sz w:val="24"/>
          <w:szCs w:val="24"/>
          <w:lang w:val="id-ID"/>
        </w:rPr>
        <w:t>gembangkan kesadaran berbangsa dan bernegara di semua aspek kehidupan masyaraka</w:t>
      </w:r>
      <w:r>
        <w:rPr>
          <w:sz w:val="24"/>
          <w:szCs w:val="24"/>
        </w:rPr>
        <w:t>t.</w:t>
      </w:r>
    </w:p>
    <w:p w:rsidR="007335FD" w:rsidRDefault="00815898">
      <w:pPr>
        <w:pStyle w:val="NoSpacing"/>
        <w:numPr>
          <w:ilvl w:val="0"/>
          <w:numId w:val="7"/>
        </w:numPr>
        <w:spacing w:line="360" w:lineRule="auto"/>
        <w:ind w:left="880"/>
        <w:rPr>
          <w:sz w:val="24"/>
          <w:szCs w:val="24"/>
        </w:rPr>
      </w:pPr>
      <w:r>
        <w:rPr>
          <w:sz w:val="24"/>
          <w:szCs w:val="24"/>
          <w:lang w:val="id-ID"/>
        </w:rPr>
        <w:t>Memantapkan proses pembauran kebangsaan di segala aspek kehidupan bermasyarakat, berbangsa dan bernegara</w:t>
      </w:r>
      <w:r>
        <w:rPr>
          <w:sz w:val="24"/>
          <w:szCs w:val="24"/>
        </w:rPr>
        <w:t>.</w:t>
      </w:r>
    </w:p>
    <w:p w:rsidR="007335FD" w:rsidRDefault="00815898">
      <w:pPr>
        <w:pStyle w:val="NoSpacing"/>
        <w:numPr>
          <w:ilvl w:val="0"/>
          <w:numId w:val="7"/>
        </w:numPr>
        <w:spacing w:line="360" w:lineRule="auto"/>
        <w:ind w:left="880"/>
        <w:rPr>
          <w:sz w:val="24"/>
          <w:szCs w:val="24"/>
        </w:rPr>
      </w:pPr>
      <w:r>
        <w:rPr>
          <w:sz w:val="24"/>
          <w:szCs w:val="24"/>
        </w:rPr>
        <w:t>Meningkatkan pengetahuan masyarakat tentang makna nilai-nilai luhur Pancasila di semua aspek kehidupan masyarakat.</w:t>
      </w:r>
    </w:p>
    <w:p w:rsidR="007335FD" w:rsidRDefault="00815898">
      <w:pPr>
        <w:pStyle w:val="NoSpacing"/>
        <w:numPr>
          <w:ilvl w:val="0"/>
          <w:numId w:val="7"/>
        </w:numPr>
        <w:spacing w:line="360" w:lineRule="auto"/>
        <w:ind w:left="880"/>
        <w:rPr>
          <w:sz w:val="24"/>
          <w:szCs w:val="24"/>
        </w:rPr>
      </w:pPr>
      <w:r>
        <w:rPr>
          <w:sz w:val="24"/>
          <w:szCs w:val="24"/>
          <w:lang w:val="id-ID"/>
        </w:rPr>
        <w:t>Meningkatkan pengetahuan aparatur, tokoh agama, ormas/LSM dalam pencegahan, penanggulangan penyalahgunaan dan peredaran gelap narkoba.</w:t>
      </w:r>
    </w:p>
    <w:p w:rsidR="007335FD" w:rsidRDefault="00815898">
      <w:pPr>
        <w:pStyle w:val="NoSpacing"/>
        <w:numPr>
          <w:ilvl w:val="0"/>
          <w:numId w:val="7"/>
        </w:numPr>
        <w:spacing w:line="360" w:lineRule="auto"/>
        <w:ind w:left="880"/>
        <w:rPr>
          <w:sz w:val="24"/>
          <w:szCs w:val="24"/>
        </w:rPr>
      </w:pPr>
      <w:r>
        <w:rPr>
          <w:sz w:val="24"/>
          <w:szCs w:val="24"/>
          <w:lang w:val="id-ID"/>
        </w:rPr>
        <w:t>Meningkatkan koordinasi dan pengawasan serta pembinaan terhadap pencegahan dan pemberantasan maksiat</w:t>
      </w:r>
      <w:r>
        <w:rPr>
          <w:sz w:val="24"/>
          <w:szCs w:val="24"/>
        </w:rPr>
        <w:t>.</w:t>
      </w:r>
    </w:p>
    <w:p w:rsidR="007335FD" w:rsidRDefault="00815898">
      <w:pPr>
        <w:pStyle w:val="NoSpacing"/>
        <w:numPr>
          <w:ilvl w:val="0"/>
          <w:numId w:val="7"/>
        </w:numPr>
        <w:spacing w:line="360" w:lineRule="auto"/>
        <w:ind w:left="880"/>
        <w:rPr>
          <w:rFonts w:hAnsi="Rockwell" w:cs="Tahoma"/>
          <w:color w:val="000000"/>
          <w:sz w:val="24"/>
          <w:szCs w:val="24"/>
        </w:rPr>
      </w:pPr>
      <w:r>
        <w:rPr>
          <w:sz w:val="24"/>
          <w:szCs w:val="24"/>
          <w:lang w:val="sv-SE"/>
        </w:rPr>
        <w:t>Meningkatkan pengetahuan pengurus ormas-ormas/LSM mengenai peraturan perundang-undangan yang berkaitan dengan Ormas/LS</w:t>
      </w:r>
      <w:r>
        <w:rPr>
          <w:sz w:val="24"/>
          <w:szCs w:val="24"/>
        </w:rPr>
        <w:t>M</w:t>
      </w:r>
    </w:p>
    <w:p w:rsidR="007335FD" w:rsidRDefault="00815898">
      <w:pPr>
        <w:pStyle w:val="NoSpacing"/>
        <w:numPr>
          <w:ilvl w:val="0"/>
          <w:numId w:val="7"/>
        </w:numPr>
        <w:spacing w:line="360" w:lineRule="auto"/>
        <w:ind w:left="880"/>
        <w:rPr>
          <w:rFonts w:hAnsi="Rockwell" w:cs="Tahoma"/>
          <w:color w:val="000000"/>
          <w:sz w:val="24"/>
          <w:szCs w:val="24"/>
        </w:rPr>
      </w:pPr>
      <w:r>
        <w:rPr>
          <w:rFonts w:hAnsi="Rockwell" w:cs="Tahoma"/>
          <w:color w:val="000000"/>
          <w:sz w:val="24"/>
          <w:szCs w:val="24"/>
        </w:rPr>
        <w:t>Men</w:t>
      </w:r>
      <w:r>
        <w:rPr>
          <w:rFonts w:hAnsi="Rockwell" w:cs="Tahoma"/>
          <w:color w:val="000000"/>
          <w:sz w:val="24"/>
          <w:szCs w:val="24"/>
          <w:lang w:val="id-ID"/>
        </w:rPr>
        <w:t>gembangkan sistem dan budaya politik yang demokratis yang ditopang dengan kemandirian infra struktur politik serta mantapnya interaksi antara infra dan supra struktur politik.</w:t>
      </w:r>
    </w:p>
    <w:p w:rsidR="007335FD" w:rsidRDefault="00815898">
      <w:pPr>
        <w:pStyle w:val="NoSpacing"/>
        <w:numPr>
          <w:ilvl w:val="0"/>
          <w:numId w:val="7"/>
        </w:numPr>
        <w:spacing w:line="360" w:lineRule="auto"/>
        <w:ind w:left="880"/>
        <w:rPr>
          <w:sz w:val="24"/>
          <w:szCs w:val="24"/>
        </w:rPr>
      </w:pPr>
      <w:r>
        <w:rPr>
          <w:rFonts w:hAnsi="Rockwell" w:cs="Tahoma"/>
          <w:color w:val="000000"/>
          <w:sz w:val="24"/>
          <w:szCs w:val="24"/>
          <w:lang w:val="id-ID"/>
        </w:rPr>
        <w:t>Mendewasakan sikap dan prilaku masyarakat dalam berdemokrasi.</w:t>
      </w:r>
    </w:p>
    <w:p w:rsidR="007335FD" w:rsidRDefault="00815898">
      <w:pPr>
        <w:pStyle w:val="NoSpacing"/>
        <w:numPr>
          <w:ilvl w:val="0"/>
          <w:numId w:val="7"/>
        </w:numPr>
        <w:spacing w:line="360" w:lineRule="auto"/>
        <w:ind w:left="880"/>
        <w:rPr>
          <w:rFonts w:hAnsi="Rockwell" w:cs="Tahoma"/>
          <w:sz w:val="24"/>
          <w:szCs w:val="24"/>
          <w:lang w:val="sv-SE"/>
        </w:rPr>
      </w:pPr>
      <w:r>
        <w:rPr>
          <w:rFonts w:hAnsi="Rockwell" w:cs="Tahoma"/>
          <w:color w:val="000000"/>
          <w:sz w:val="24"/>
          <w:szCs w:val="24"/>
          <w:lang w:val="id-ID"/>
        </w:rPr>
        <w:t>Meningkatkan koordinasi terkait isu isu strategis di jajaran Kesbangpol provinsi dan kabupaten/kota</w:t>
      </w:r>
    </w:p>
    <w:p w:rsidR="007335FD" w:rsidRDefault="00815898">
      <w:pPr>
        <w:pStyle w:val="NoSpacing"/>
        <w:numPr>
          <w:ilvl w:val="0"/>
          <w:numId w:val="7"/>
        </w:numPr>
        <w:spacing w:line="360" w:lineRule="auto"/>
        <w:ind w:left="880"/>
        <w:rPr>
          <w:rFonts w:hAnsi="Rockwell" w:cs="Tahoma"/>
          <w:sz w:val="24"/>
          <w:szCs w:val="24"/>
          <w:lang w:val="sv-SE"/>
        </w:rPr>
      </w:pPr>
      <w:r>
        <w:rPr>
          <w:rFonts w:hAnsi="Rockwell" w:cs="Tahoma"/>
          <w:sz w:val="24"/>
          <w:szCs w:val="24"/>
          <w:lang w:val="sv-SE"/>
        </w:rPr>
        <w:t>Meningkatkan keterpaduan dalam mengembangkan kapasitas dan manajemen aparatur</w:t>
      </w:r>
    </w:p>
    <w:p w:rsidR="007335FD" w:rsidRDefault="00815898">
      <w:pPr>
        <w:pStyle w:val="NoSpacing"/>
        <w:numPr>
          <w:ilvl w:val="0"/>
          <w:numId w:val="7"/>
        </w:numPr>
        <w:spacing w:line="360" w:lineRule="auto"/>
        <w:ind w:left="880"/>
        <w:rPr>
          <w:rFonts w:hAnsi="Rockwell" w:cs="Tahoma"/>
          <w:sz w:val="24"/>
          <w:szCs w:val="24"/>
          <w:lang w:val="sv-SE"/>
        </w:rPr>
      </w:pPr>
      <w:r>
        <w:rPr>
          <w:rFonts w:hAnsi="Rockwell" w:cs="Tahoma"/>
          <w:sz w:val="24"/>
          <w:szCs w:val="24"/>
          <w:lang w:val="sv-SE"/>
        </w:rPr>
        <w:t>Meningkatkan manajemen pengelolaan kepegawaian yang efektif, efisien dan akuntabel berbasis teknologi informasi.</w:t>
      </w:r>
    </w:p>
    <w:p w:rsidR="007335FD" w:rsidRDefault="00815898">
      <w:pPr>
        <w:pStyle w:val="NoSpacing"/>
        <w:numPr>
          <w:ilvl w:val="0"/>
          <w:numId w:val="7"/>
        </w:numPr>
        <w:spacing w:line="360" w:lineRule="auto"/>
        <w:ind w:left="880"/>
        <w:rPr>
          <w:rFonts w:hAnsi="Rockwell" w:cs="Tahoma"/>
          <w:sz w:val="24"/>
          <w:szCs w:val="24"/>
          <w:lang w:val="sv-SE"/>
        </w:rPr>
      </w:pPr>
      <w:r>
        <w:rPr>
          <w:rFonts w:hAnsi="Rockwell" w:cs="Tahoma"/>
          <w:sz w:val="24"/>
          <w:szCs w:val="24"/>
          <w:lang w:val="sv-SE"/>
        </w:rPr>
        <w:t>Meningkatkan penerapan pemberian penghargaan dan sanksi terhadap kinerja aparatur</w:t>
      </w:r>
    </w:p>
    <w:p w:rsidR="007335FD" w:rsidRDefault="00815898">
      <w:pPr>
        <w:pStyle w:val="NoSpacing"/>
        <w:numPr>
          <w:ilvl w:val="0"/>
          <w:numId w:val="7"/>
        </w:numPr>
        <w:spacing w:line="360" w:lineRule="auto"/>
        <w:ind w:left="880"/>
        <w:rPr>
          <w:rFonts w:hAnsi="Rockwell" w:cs="Tahoma"/>
          <w:sz w:val="24"/>
          <w:szCs w:val="24"/>
          <w:lang w:val="sv-SE"/>
        </w:rPr>
      </w:pPr>
      <w:r>
        <w:rPr>
          <w:rFonts w:hAnsi="Rockwell" w:cs="Tahoma"/>
          <w:sz w:val="24"/>
          <w:szCs w:val="24"/>
          <w:lang w:val="sv-SE"/>
        </w:rPr>
        <w:t>Meningkatkan transparansi dalam pengelolaan keuangan daerah</w:t>
      </w:r>
    </w:p>
    <w:p w:rsidR="007335FD" w:rsidRDefault="00815898">
      <w:pPr>
        <w:pStyle w:val="NoSpacing"/>
        <w:numPr>
          <w:ilvl w:val="0"/>
          <w:numId w:val="7"/>
        </w:numPr>
        <w:spacing w:line="360" w:lineRule="auto"/>
        <w:ind w:left="880"/>
        <w:rPr>
          <w:rFonts w:hAnsi="Rockwell" w:cs="Andalus"/>
          <w:color w:val="000000"/>
          <w:sz w:val="24"/>
          <w:szCs w:val="24"/>
        </w:rPr>
      </w:pPr>
      <w:r>
        <w:rPr>
          <w:rFonts w:hAnsi="Rockwell" w:cs="Tahoma"/>
          <w:sz w:val="24"/>
          <w:szCs w:val="24"/>
          <w:lang w:val="sv-SE"/>
        </w:rPr>
        <w:t>Meningkatkan kompetensi dan integritas aparatur pengadaan barang dan jasa</w:t>
      </w:r>
    </w:p>
    <w:p w:rsidR="007335FD" w:rsidRDefault="00815898">
      <w:pPr>
        <w:pStyle w:val="NoSpacing"/>
        <w:numPr>
          <w:ilvl w:val="0"/>
          <w:numId w:val="7"/>
        </w:numPr>
        <w:spacing w:line="360" w:lineRule="auto"/>
        <w:ind w:left="880"/>
        <w:rPr>
          <w:sz w:val="24"/>
          <w:szCs w:val="24"/>
        </w:rPr>
      </w:pPr>
      <w:r>
        <w:rPr>
          <w:rFonts w:hAnsi="Rockwell" w:cs="Tahoma"/>
          <w:sz w:val="24"/>
          <w:szCs w:val="24"/>
          <w:lang w:val="sv-SE"/>
        </w:rPr>
        <w:t>Mengembangkan dan memanfaatkan sistem informasi dalam penyelenggaraan pemerintahan (e-goverment)</w:t>
      </w:r>
    </w:p>
    <w:p w:rsidR="007335FD" w:rsidRDefault="00815898">
      <w:pPr>
        <w:pStyle w:val="BodyTextIndent2"/>
        <w:ind w:left="447" w:firstLineChars="271" w:firstLine="650"/>
        <w:rPr>
          <w:rFonts w:hAnsi="Tahoma" w:cs="Tahoma"/>
          <w:sz w:val="24"/>
          <w:szCs w:val="24"/>
        </w:rPr>
      </w:pPr>
      <w:r>
        <w:rPr>
          <w:rFonts w:hAnsi="Tahoma" w:cs="Tahoma"/>
          <w:sz w:val="24"/>
          <w:szCs w:val="24"/>
        </w:rPr>
        <w:lastRenderedPageBreak/>
        <w:t xml:space="preserve">Untuk mengimplementasikan strategi dalam rangka pencapaian tujuan dan sasaran yang telah ditetapkan, perlu dirumuskan kebijakan-kebijakan strategis yang menjadi pedoman bagi pelaksanaan program </w:t>
      </w:r>
      <w:proofErr w:type="gramStart"/>
      <w:r>
        <w:rPr>
          <w:rFonts w:hAnsi="Tahoma" w:cs="Tahoma"/>
          <w:sz w:val="24"/>
          <w:szCs w:val="24"/>
        </w:rPr>
        <w:t>lima</w:t>
      </w:r>
      <w:proofErr w:type="gramEnd"/>
      <w:r>
        <w:rPr>
          <w:rFonts w:hAnsi="Tahoma" w:cs="Tahoma"/>
          <w:sz w:val="24"/>
          <w:szCs w:val="24"/>
        </w:rPr>
        <w:t xml:space="preserve"> tahun dari Rencana Strategis Badan Kesbangpol Provinsi Sumatera Barat Tahun 2016-2021 yaitu:</w:t>
      </w:r>
    </w:p>
    <w:p w:rsidR="007335FD" w:rsidRDefault="00815898">
      <w:pPr>
        <w:pStyle w:val="NoSpacing"/>
        <w:numPr>
          <w:ilvl w:val="0"/>
          <w:numId w:val="8"/>
        </w:numPr>
        <w:tabs>
          <w:tab w:val="clear" w:pos="425"/>
        </w:tabs>
        <w:spacing w:line="360" w:lineRule="auto"/>
        <w:ind w:left="880"/>
        <w:rPr>
          <w:sz w:val="24"/>
          <w:szCs w:val="24"/>
        </w:rPr>
      </w:pPr>
      <w:r>
        <w:rPr>
          <w:sz w:val="24"/>
          <w:szCs w:val="24"/>
        </w:rPr>
        <w:t xml:space="preserve">Melakukan </w:t>
      </w:r>
      <w:r>
        <w:rPr>
          <w:sz w:val="24"/>
          <w:szCs w:val="24"/>
          <w:lang w:val="id-ID"/>
        </w:rPr>
        <w:t xml:space="preserve">rapat </w:t>
      </w:r>
      <w:proofErr w:type="gramStart"/>
      <w:r>
        <w:rPr>
          <w:sz w:val="24"/>
          <w:szCs w:val="24"/>
          <w:lang w:val="id-ID"/>
        </w:rPr>
        <w:t>tim</w:t>
      </w:r>
      <w:proofErr w:type="gramEnd"/>
      <w:r>
        <w:rPr>
          <w:sz w:val="24"/>
          <w:szCs w:val="24"/>
          <w:lang w:val="id-ID"/>
        </w:rPr>
        <w:t>, koordinasi serta memberikan pelatihan dalam rangka penanganan masalah strategis daerah</w:t>
      </w:r>
      <w:r>
        <w:rPr>
          <w:sz w:val="24"/>
          <w:szCs w:val="24"/>
        </w:rPr>
        <w:t>.</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Membentuk tim pengawasan orang asing provinsi Sumatera Barat dan melakukan rapat rapat pembahasan keberadaan orang asing.</w:t>
      </w:r>
    </w:p>
    <w:p w:rsidR="007335FD" w:rsidRDefault="00815898">
      <w:pPr>
        <w:pStyle w:val="NoSpacing"/>
        <w:numPr>
          <w:ilvl w:val="0"/>
          <w:numId w:val="8"/>
        </w:numPr>
        <w:tabs>
          <w:tab w:val="clear" w:pos="425"/>
        </w:tabs>
        <w:spacing w:line="360" w:lineRule="auto"/>
        <w:ind w:left="880"/>
        <w:rPr>
          <w:sz w:val="24"/>
          <w:szCs w:val="24"/>
        </w:rPr>
      </w:pPr>
      <w:r>
        <w:rPr>
          <w:sz w:val="24"/>
          <w:szCs w:val="24"/>
        </w:rPr>
        <w:t xml:space="preserve">Melakukan </w:t>
      </w:r>
      <w:r>
        <w:rPr>
          <w:sz w:val="24"/>
          <w:szCs w:val="24"/>
          <w:lang w:val="id-ID"/>
        </w:rPr>
        <w:t>rapat pembahasan dan sosialisasi peraturan dalam penanganan aliran kepercayaan masyarakat</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Menyelenggarakan forum kerukunan umat beragama</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 xml:space="preserve">Melakukan monitoring dan evaluasi ketahanan ekonomi ke </w:t>
      </w:r>
      <w:r>
        <w:rPr>
          <w:sz w:val="24"/>
          <w:szCs w:val="24"/>
        </w:rPr>
        <w:t>k</w:t>
      </w:r>
      <w:r>
        <w:rPr>
          <w:sz w:val="24"/>
          <w:szCs w:val="24"/>
          <w:lang w:val="id-ID"/>
        </w:rPr>
        <w:t>abupaten/kota di Sumatera Barat</w:t>
      </w:r>
    </w:p>
    <w:p w:rsidR="007335FD" w:rsidRDefault="00815898">
      <w:pPr>
        <w:pStyle w:val="NoSpacing"/>
        <w:numPr>
          <w:ilvl w:val="0"/>
          <w:numId w:val="8"/>
        </w:numPr>
        <w:tabs>
          <w:tab w:val="clear" w:pos="425"/>
        </w:tabs>
        <w:spacing w:line="360" w:lineRule="auto"/>
        <w:ind w:left="880"/>
        <w:rPr>
          <w:sz w:val="24"/>
          <w:szCs w:val="24"/>
        </w:rPr>
      </w:pPr>
      <w:r>
        <w:rPr>
          <w:sz w:val="24"/>
          <w:szCs w:val="24"/>
        </w:rPr>
        <w:t>Melakukan koordinasi dan mengadakan forum pemantapan wawasan kebangsaan</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Memberikan sosialisasi dalam rangka memp</w:t>
      </w:r>
      <w:r>
        <w:rPr>
          <w:sz w:val="24"/>
          <w:szCs w:val="24"/>
        </w:rPr>
        <w:t>e</w:t>
      </w:r>
      <w:r>
        <w:rPr>
          <w:sz w:val="24"/>
          <w:szCs w:val="24"/>
          <w:lang w:val="id-ID"/>
        </w:rPr>
        <w:t>rkuat rasa kebangsaan</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Memberikan sosialisasi tentang nilai nilai luhur bangsa</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Mengadakan pembekalan bagi aparatur dan masyarakat terkait pencegahan, penanggulangan dan peredaran gelap narkoba.</w:t>
      </w:r>
    </w:p>
    <w:p w:rsidR="007335FD" w:rsidRDefault="00815898">
      <w:pPr>
        <w:pStyle w:val="NoSpacing"/>
        <w:numPr>
          <w:ilvl w:val="0"/>
          <w:numId w:val="8"/>
        </w:numPr>
        <w:tabs>
          <w:tab w:val="clear" w:pos="425"/>
        </w:tabs>
        <w:spacing w:line="360" w:lineRule="auto"/>
        <w:ind w:left="880"/>
        <w:rPr>
          <w:sz w:val="24"/>
          <w:szCs w:val="24"/>
        </w:rPr>
      </w:pPr>
      <w:r>
        <w:rPr>
          <w:sz w:val="24"/>
          <w:szCs w:val="24"/>
          <w:lang w:val="id-ID"/>
        </w:rPr>
        <w:t>Melakukan pembinaan dan pengawasan untuk pencegahan dan pemberantasan maksiat.</w:t>
      </w:r>
    </w:p>
    <w:p w:rsidR="007335FD" w:rsidRDefault="00815898">
      <w:pPr>
        <w:pStyle w:val="NoSpacing"/>
        <w:numPr>
          <w:ilvl w:val="0"/>
          <w:numId w:val="8"/>
        </w:numPr>
        <w:tabs>
          <w:tab w:val="clear" w:pos="425"/>
        </w:tabs>
        <w:spacing w:line="360" w:lineRule="auto"/>
        <w:ind w:left="880"/>
        <w:rPr>
          <w:rFonts w:hAnsi="Rockwell" w:cs="Tahoma"/>
          <w:color w:val="000000"/>
          <w:sz w:val="24"/>
          <w:szCs w:val="24"/>
        </w:rPr>
      </w:pPr>
      <w:r>
        <w:rPr>
          <w:sz w:val="24"/>
          <w:szCs w:val="24"/>
          <w:lang w:val="sv-SE"/>
        </w:rPr>
        <w:t>Melakukan pembinaan dan pengawasan terhadap aktivitas ormas/LSM</w:t>
      </w:r>
    </w:p>
    <w:p w:rsidR="007335FD" w:rsidRDefault="00815898">
      <w:pPr>
        <w:pStyle w:val="NoSpacing"/>
        <w:numPr>
          <w:ilvl w:val="0"/>
          <w:numId w:val="8"/>
        </w:numPr>
        <w:tabs>
          <w:tab w:val="clear" w:pos="425"/>
        </w:tabs>
        <w:spacing w:line="360" w:lineRule="auto"/>
        <w:ind w:left="880"/>
        <w:rPr>
          <w:rFonts w:hAnsi="Rockwell" w:cs="Tahoma"/>
          <w:color w:val="000000"/>
          <w:sz w:val="24"/>
          <w:szCs w:val="24"/>
        </w:rPr>
      </w:pPr>
      <w:r>
        <w:rPr>
          <w:rFonts w:hAnsi="Rockwell" w:cs="Tahoma"/>
          <w:color w:val="000000"/>
          <w:sz w:val="24"/>
          <w:szCs w:val="24"/>
        </w:rPr>
        <w:t xml:space="preserve">Melakukan </w:t>
      </w:r>
      <w:r>
        <w:rPr>
          <w:rFonts w:hAnsi="Rockwell" w:cs="Tahoma"/>
          <w:color w:val="000000"/>
          <w:sz w:val="24"/>
          <w:szCs w:val="24"/>
          <w:lang w:val="id-ID"/>
        </w:rPr>
        <w:t>monitoring dan evaluasi keberadaan infra struktur politik di Sumatera Barat</w:t>
      </w:r>
    </w:p>
    <w:p w:rsidR="007335FD" w:rsidRDefault="00815898">
      <w:pPr>
        <w:pStyle w:val="NoSpacing"/>
        <w:numPr>
          <w:ilvl w:val="0"/>
          <w:numId w:val="8"/>
        </w:numPr>
        <w:tabs>
          <w:tab w:val="clear" w:pos="425"/>
        </w:tabs>
        <w:spacing w:line="360" w:lineRule="auto"/>
        <w:ind w:left="880"/>
        <w:rPr>
          <w:sz w:val="24"/>
          <w:szCs w:val="24"/>
        </w:rPr>
      </w:pPr>
      <w:r>
        <w:rPr>
          <w:rFonts w:hAnsi="Rockwell" w:cs="Tahoma"/>
          <w:color w:val="000000"/>
          <w:sz w:val="24"/>
          <w:szCs w:val="24"/>
          <w:lang w:val="id-ID"/>
        </w:rPr>
        <w:t>Menyelenggarakan fasilitasi dan pembekalan politik bagi masyarakat.</w:t>
      </w:r>
    </w:p>
    <w:p w:rsidR="007335FD" w:rsidRDefault="00815898">
      <w:pPr>
        <w:pStyle w:val="NoSpacing"/>
        <w:numPr>
          <w:ilvl w:val="0"/>
          <w:numId w:val="8"/>
        </w:numPr>
        <w:tabs>
          <w:tab w:val="clear" w:pos="425"/>
        </w:tabs>
        <w:spacing w:line="360" w:lineRule="auto"/>
        <w:ind w:left="880"/>
        <w:rPr>
          <w:rFonts w:hAnsi="Rockwell" w:cs="Tahoma"/>
          <w:sz w:val="24"/>
          <w:szCs w:val="24"/>
          <w:lang w:val="sv-SE"/>
        </w:rPr>
      </w:pPr>
      <w:r>
        <w:rPr>
          <w:rFonts w:hAnsi="Rockwell" w:cs="Tahoma"/>
          <w:color w:val="000000"/>
          <w:sz w:val="24"/>
          <w:szCs w:val="24"/>
        </w:rPr>
        <w:t>Menyelenggarakan forum komunikasi di jajaran Kesbangpol dan Provinsi dan Kabupaten/kota di Sumatera Barat</w:t>
      </w:r>
    </w:p>
    <w:p w:rsidR="007335FD" w:rsidRDefault="00815898">
      <w:pPr>
        <w:pStyle w:val="NoSpacing"/>
        <w:numPr>
          <w:ilvl w:val="0"/>
          <w:numId w:val="8"/>
        </w:numPr>
        <w:tabs>
          <w:tab w:val="clear" w:pos="425"/>
        </w:tabs>
        <w:spacing w:line="360" w:lineRule="auto"/>
        <w:ind w:left="880"/>
        <w:rPr>
          <w:rFonts w:hAnsi="Rockwell" w:cs="Tahoma"/>
          <w:sz w:val="24"/>
          <w:szCs w:val="24"/>
          <w:lang w:val="sv-SE"/>
        </w:rPr>
      </w:pPr>
      <w:r>
        <w:rPr>
          <w:rFonts w:hAnsi="Rockwell" w:cs="Tahoma"/>
          <w:sz w:val="24"/>
          <w:szCs w:val="24"/>
        </w:rPr>
        <w:t>Meningkatkan pengelolaan manajemen kepegawaian (rekruitmen, mutasi, promosi dan pengembangan karir aparatur)</w:t>
      </w:r>
    </w:p>
    <w:p w:rsidR="007335FD" w:rsidRDefault="00815898">
      <w:pPr>
        <w:pStyle w:val="NoSpacing"/>
        <w:numPr>
          <w:ilvl w:val="0"/>
          <w:numId w:val="8"/>
        </w:numPr>
        <w:tabs>
          <w:tab w:val="clear" w:pos="425"/>
        </w:tabs>
        <w:spacing w:line="360" w:lineRule="auto"/>
        <w:ind w:left="880"/>
        <w:rPr>
          <w:rFonts w:hAnsi="Rockwell" w:cs="Tahoma"/>
          <w:sz w:val="24"/>
          <w:szCs w:val="24"/>
          <w:lang w:val="sv-SE"/>
        </w:rPr>
      </w:pPr>
      <w:r>
        <w:rPr>
          <w:rFonts w:hAnsi="Rockwell" w:cs="Tahoma"/>
          <w:sz w:val="24"/>
          <w:szCs w:val="24"/>
        </w:rPr>
        <w:t>Peningkatan penyelenggaraan pendidikan dan pelatihan aparatur</w:t>
      </w:r>
    </w:p>
    <w:p w:rsidR="007335FD" w:rsidRDefault="00815898">
      <w:pPr>
        <w:pStyle w:val="NoSpacing"/>
        <w:numPr>
          <w:ilvl w:val="0"/>
          <w:numId w:val="8"/>
        </w:numPr>
        <w:tabs>
          <w:tab w:val="clear" w:pos="425"/>
        </w:tabs>
        <w:spacing w:line="360" w:lineRule="auto"/>
        <w:ind w:left="880"/>
        <w:rPr>
          <w:rFonts w:hAnsi="Rockwell" w:cs="Tahoma"/>
          <w:sz w:val="24"/>
          <w:szCs w:val="24"/>
          <w:lang w:val="sv-SE"/>
        </w:rPr>
      </w:pPr>
      <w:r>
        <w:rPr>
          <w:rFonts w:hAnsi="Rockwell" w:cs="Tahoma"/>
          <w:sz w:val="24"/>
          <w:szCs w:val="24"/>
        </w:rPr>
        <w:t>Penerapan reward dan punishment bagi aparatur berbasis indikator kinerja</w:t>
      </w:r>
      <w:r>
        <w:rPr>
          <w:rFonts w:hAnsi="Rockwell" w:cs="Tahoma"/>
          <w:sz w:val="24"/>
          <w:szCs w:val="24"/>
          <w:lang w:val="id-ID"/>
        </w:rPr>
        <w:t xml:space="preserve"> </w:t>
      </w:r>
    </w:p>
    <w:p w:rsidR="007335FD" w:rsidRDefault="00815898">
      <w:pPr>
        <w:pStyle w:val="NoSpacing"/>
        <w:numPr>
          <w:ilvl w:val="0"/>
          <w:numId w:val="8"/>
        </w:numPr>
        <w:tabs>
          <w:tab w:val="clear" w:pos="425"/>
        </w:tabs>
        <w:spacing w:line="360" w:lineRule="auto"/>
        <w:ind w:left="880"/>
        <w:rPr>
          <w:rFonts w:hAnsi="Rockwell" w:cs="Tahoma"/>
          <w:sz w:val="24"/>
          <w:szCs w:val="24"/>
          <w:lang w:val="sv-SE"/>
        </w:rPr>
      </w:pPr>
      <w:r>
        <w:rPr>
          <w:rFonts w:hAnsi="Rockwell" w:cs="Tahoma"/>
          <w:sz w:val="24"/>
          <w:szCs w:val="24"/>
          <w:lang w:val="sv-SE"/>
        </w:rPr>
        <w:t>Percepatan penerapan standar akuntansi pemerintah berbasis acrual</w:t>
      </w:r>
    </w:p>
    <w:p w:rsidR="007335FD" w:rsidRDefault="00815898">
      <w:pPr>
        <w:pStyle w:val="NoSpacing"/>
        <w:numPr>
          <w:ilvl w:val="0"/>
          <w:numId w:val="8"/>
        </w:numPr>
        <w:tabs>
          <w:tab w:val="clear" w:pos="425"/>
        </w:tabs>
        <w:spacing w:line="360" w:lineRule="auto"/>
        <w:ind w:left="880"/>
        <w:rPr>
          <w:sz w:val="24"/>
          <w:szCs w:val="24"/>
        </w:rPr>
      </w:pPr>
      <w:r>
        <w:rPr>
          <w:rFonts w:hAnsi="Rockwell" w:cs="Tahoma"/>
          <w:sz w:val="24"/>
          <w:szCs w:val="24"/>
          <w:lang w:val="sv-SE"/>
        </w:rPr>
        <w:lastRenderedPageBreak/>
        <w:t>Peningkatan kualitas implementasi sistem e-procurement</w:t>
      </w:r>
    </w:p>
    <w:p w:rsidR="007335FD" w:rsidRDefault="00815898">
      <w:pPr>
        <w:pStyle w:val="NoSpacing"/>
        <w:numPr>
          <w:ilvl w:val="0"/>
          <w:numId w:val="8"/>
        </w:numPr>
        <w:tabs>
          <w:tab w:val="clear" w:pos="425"/>
        </w:tabs>
        <w:spacing w:line="360" w:lineRule="auto"/>
        <w:ind w:left="880"/>
        <w:rPr>
          <w:sz w:val="24"/>
          <w:szCs w:val="24"/>
        </w:rPr>
      </w:pPr>
      <w:r>
        <w:rPr>
          <w:rFonts w:hAnsi="Rockwell" w:cs="Tahoma"/>
          <w:sz w:val="24"/>
          <w:szCs w:val="24"/>
          <w:lang w:val="sv-SE"/>
        </w:rPr>
        <w:t>Pemantapan implementasi Sistem Akuntabilitas Kinerja Instansi Pemerintah</w:t>
      </w:r>
    </w:p>
    <w:p w:rsidR="007335FD" w:rsidRDefault="007335FD">
      <w:pPr>
        <w:pStyle w:val="NoSpacing"/>
        <w:spacing w:line="360" w:lineRule="auto"/>
        <w:ind w:left="455"/>
        <w:rPr>
          <w:sz w:val="24"/>
          <w:szCs w:val="24"/>
        </w:rPr>
      </w:pPr>
    </w:p>
    <w:p w:rsidR="007335FD" w:rsidRDefault="00815898">
      <w:pPr>
        <w:pStyle w:val="ListParagraph"/>
        <w:snapToGrid w:val="0"/>
        <w:spacing w:after="0" w:line="360" w:lineRule="auto"/>
        <w:ind w:left="0"/>
        <w:jc w:val="both"/>
        <w:rPr>
          <w:rFonts w:cs="Tahoma"/>
          <w:color w:val="000000"/>
          <w:sz w:val="24"/>
          <w:szCs w:val="24"/>
        </w:rPr>
      </w:pPr>
      <w:r>
        <w:rPr>
          <w:rFonts w:ascii="Segoe UI Black" w:hAnsi="Segoe UI Black" w:cs="Segoe UI Black"/>
          <w:b/>
          <w:bCs/>
          <w:sz w:val="24"/>
          <w:szCs w:val="24"/>
        </w:rPr>
        <w:t>2.1.5 Program dan Kegiatan</w:t>
      </w:r>
    </w:p>
    <w:p w:rsidR="007335FD" w:rsidRDefault="00815898">
      <w:pPr>
        <w:spacing w:line="360" w:lineRule="auto"/>
        <w:ind w:left="647" w:firstLine="634"/>
        <w:jc w:val="both"/>
        <w:rPr>
          <w:rFonts w:cs="Arial"/>
          <w:sz w:val="24"/>
          <w:szCs w:val="24"/>
        </w:rPr>
      </w:pPr>
      <w:proofErr w:type="gramStart"/>
      <w:r>
        <w:rPr>
          <w:rFonts w:hAnsi="Tahoma" w:cs="Tahoma"/>
          <w:sz w:val="24"/>
          <w:szCs w:val="24"/>
        </w:rPr>
        <w:t>Perencanaan program dan kegiatan dibuat berdasarkan pada isu strategis bidang ketentraman, ketertiban dan perlindungan masyarakat yang tertuang dalam RPJMD Provinsi Sumatera Barat Tahun 2016-2021.</w:t>
      </w:r>
      <w:proofErr w:type="gramEnd"/>
      <w:r>
        <w:rPr>
          <w:rFonts w:hAnsi="Tahoma" w:cs="Tahoma"/>
          <w:sz w:val="24"/>
          <w:szCs w:val="24"/>
        </w:rPr>
        <w:t xml:space="preserve"> Badan Kesatuan Bangsa dan Politik Provinsi Sumatera Barat menyusun rencana program dan kegiatan dalam rangka memberikan dukungan atas Misi pertama RPJMD 2016-2021 yaitu </w:t>
      </w:r>
      <w:r>
        <w:rPr>
          <w:rFonts w:hAnsi="Tahoma" w:cs="Tahoma"/>
          <w:sz w:val="24"/>
          <w:szCs w:val="24"/>
        </w:rPr>
        <w:t>”</w:t>
      </w:r>
      <w:r>
        <w:rPr>
          <w:rFonts w:hAnsi="Tahoma" w:cs="Tahoma"/>
          <w:sz w:val="24"/>
          <w:szCs w:val="24"/>
        </w:rPr>
        <w:t xml:space="preserve"> M</w:t>
      </w:r>
      <w:r>
        <w:rPr>
          <w:rFonts w:cs="Arial"/>
          <w:sz w:val="24"/>
          <w:szCs w:val="24"/>
        </w:rPr>
        <w:t xml:space="preserve">eningkatkan tata kehidupan yang harmonis, agamais, beradat dan berbudaya berdasarkan falsafah “Adat Basandi Syarak, Syarak Basandi Kitabullah”. </w:t>
      </w:r>
      <w:proofErr w:type="gramStart"/>
      <w:r>
        <w:rPr>
          <w:rFonts w:cs="Arial"/>
          <w:sz w:val="24"/>
          <w:szCs w:val="24"/>
        </w:rPr>
        <w:t>Sasaran dari misi tersebut adalah meningkatnya kualitas kehidupan beragama dan kerukunan antar umat beragama dan berkurangnya penyakit masyarakat.</w:t>
      </w:r>
      <w:proofErr w:type="gramEnd"/>
      <w:r>
        <w:rPr>
          <w:rFonts w:cs="Arial"/>
          <w:sz w:val="24"/>
          <w:szCs w:val="24"/>
        </w:rPr>
        <w:t xml:space="preserve"> </w:t>
      </w:r>
    </w:p>
    <w:p w:rsidR="007335FD" w:rsidRDefault="00815898" w:rsidP="00815898">
      <w:pPr>
        <w:pStyle w:val="NoSpacing"/>
        <w:spacing w:line="360" w:lineRule="auto"/>
        <w:ind w:leftChars="300" w:left="660" w:firstLineChars="274" w:firstLine="658"/>
        <w:rPr>
          <w:sz w:val="24"/>
          <w:szCs w:val="24"/>
        </w:rPr>
      </w:pPr>
      <w:r>
        <w:rPr>
          <w:sz w:val="24"/>
          <w:szCs w:val="24"/>
        </w:rPr>
        <w:t>Sesuai dengan Rencana Pembangunan Jangka Menengah Daerah (RPJMD) Tahun 2016-2021 Provinsi Sumatera Barat, yang menjadi program prioritas Badan Kesatuan Bangsa dan Poltik Provinsi Sumatera Barat adalah:</w:t>
      </w:r>
    </w:p>
    <w:p w:rsidR="007335FD" w:rsidRDefault="00815898">
      <w:pPr>
        <w:pStyle w:val="NoSpacing"/>
        <w:numPr>
          <w:ilvl w:val="0"/>
          <w:numId w:val="9"/>
        </w:numPr>
        <w:tabs>
          <w:tab w:val="clear" w:pos="425"/>
        </w:tabs>
        <w:spacing w:line="360" w:lineRule="auto"/>
        <w:ind w:left="1100"/>
        <w:rPr>
          <w:sz w:val="24"/>
          <w:szCs w:val="24"/>
        </w:rPr>
      </w:pPr>
      <w:r>
        <w:rPr>
          <w:sz w:val="24"/>
          <w:szCs w:val="24"/>
        </w:rPr>
        <w:t>Program Peningkatan Keamanan dan Kenyamanan Lingkungan, dengan kegiatan sebagai berikut :</w:t>
      </w:r>
    </w:p>
    <w:p w:rsidR="007335FD" w:rsidRDefault="00815898">
      <w:pPr>
        <w:pStyle w:val="NoSpacing"/>
        <w:numPr>
          <w:ilvl w:val="0"/>
          <w:numId w:val="10"/>
        </w:numPr>
        <w:tabs>
          <w:tab w:val="clear" w:pos="425"/>
        </w:tabs>
        <w:spacing w:line="360" w:lineRule="auto"/>
        <w:ind w:left="1540"/>
        <w:rPr>
          <w:sz w:val="24"/>
          <w:szCs w:val="24"/>
        </w:rPr>
      </w:pPr>
      <w:r>
        <w:rPr>
          <w:sz w:val="24"/>
          <w:szCs w:val="24"/>
        </w:rPr>
        <w:t>Penanganan Masalah Strategis Daerah</w:t>
      </w:r>
    </w:p>
    <w:p w:rsidR="007335FD" w:rsidRDefault="00815898">
      <w:pPr>
        <w:pStyle w:val="NoSpacing"/>
        <w:numPr>
          <w:ilvl w:val="0"/>
          <w:numId w:val="10"/>
        </w:numPr>
        <w:tabs>
          <w:tab w:val="clear" w:pos="425"/>
        </w:tabs>
        <w:spacing w:line="360" w:lineRule="auto"/>
        <w:ind w:left="1540"/>
        <w:rPr>
          <w:sz w:val="24"/>
          <w:szCs w:val="24"/>
        </w:rPr>
      </w:pPr>
      <w:r>
        <w:rPr>
          <w:sz w:val="24"/>
          <w:szCs w:val="24"/>
        </w:rPr>
        <w:t>Pengawasan Orang Asing</w:t>
      </w:r>
    </w:p>
    <w:p w:rsidR="007335FD" w:rsidRDefault="00815898">
      <w:pPr>
        <w:pStyle w:val="NoSpacing"/>
        <w:numPr>
          <w:ilvl w:val="0"/>
          <w:numId w:val="10"/>
        </w:numPr>
        <w:tabs>
          <w:tab w:val="clear" w:pos="425"/>
        </w:tabs>
        <w:spacing w:line="360" w:lineRule="auto"/>
        <w:ind w:left="1540"/>
        <w:rPr>
          <w:sz w:val="24"/>
          <w:szCs w:val="24"/>
        </w:rPr>
      </w:pPr>
      <w:r>
        <w:rPr>
          <w:sz w:val="24"/>
          <w:szCs w:val="24"/>
        </w:rPr>
        <w:t>Pengawasan dan Pencegahan Konflik Sosial</w:t>
      </w:r>
    </w:p>
    <w:p w:rsidR="007335FD" w:rsidRDefault="00815898">
      <w:pPr>
        <w:pStyle w:val="NoSpacing"/>
        <w:numPr>
          <w:ilvl w:val="0"/>
          <w:numId w:val="10"/>
        </w:numPr>
        <w:tabs>
          <w:tab w:val="clear" w:pos="425"/>
        </w:tabs>
        <w:spacing w:line="360" w:lineRule="auto"/>
        <w:ind w:left="1540"/>
        <w:rPr>
          <w:sz w:val="24"/>
          <w:szCs w:val="24"/>
        </w:rPr>
      </w:pPr>
      <w:r>
        <w:rPr>
          <w:sz w:val="24"/>
          <w:szCs w:val="24"/>
        </w:rPr>
        <w:t>Pengawasan dan Peningkatan Kewaspadaan Dini Masyarakat</w:t>
      </w:r>
    </w:p>
    <w:p w:rsidR="007335FD" w:rsidRDefault="00815898">
      <w:pPr>
        <w:pStyle w:val="NoSpacing"/>
        <w:numPr>
          <w:ilvl w:val="0"/>
          <w:numId w:val="10"/>
        </w:numPr>
        <w:tabs>
          <w:tab w:val="clear" w:pos="425"/>
        </w:tabs>
        <w:spacing w:line="360" w:lineRule="auto"/>
        <w:ind w:left="1540"/>
        <w:rPr>
          <w:sz w:val="24"/>
          <w:szCs w:val="24"/>
        </w:rPr>
      </w:pPr>
      <w:r>
        <w:rPr>
          <w:sz w:val="24"/>
          <w:szCs w:val="24"/>
        </w:rPr>
        <w:t>Rapat Koordinasi Ketahanan Ekonomi dan Budaya</w:t>
      </w:r>
    </w:p>
    <w:p w:rsidR="007335FD" w:rsidRDefault="00815898">
      <w:pPr>
        <w:pStyle w:val="NoSpacing"/>
        <w:numPr>
          <w:ilvl w:val="0"/>
          <w:numId w:val="10"/>
        </w:numPr>
        <w:tabs>
          <w:tab w:val="clear" w:pos="425"/>
        </w:tabs>
        <w:spacing w:line="360" w:lineRule="auto"/>
        <w:ind w:left="1540"/>
        <w:rPr>
          <w:sz w:val="24"/>
          <w:szCs w:val="24"/>
        </w:rPr>
      </w:pPr>
      <w:r>
        <w:rPr>
          <w:sz w:val="24"/>
          <w:szCs w:val="24"/>
        </w:rPr>
        <w:t>Penguatan Tim Terpadu Penanganan Konflik Sosial</w:t>
      </w:r>
    </w:p>
    <w:p w:rsidR="007335FD" w:rsidRDefault="00815898">
      <w:pPr>
        <w:pStyle w:val="NoSpacing"/>
        <w:numPr>
          <w:ilvl w:val="0"/>
          <w:numId w:val="10"/>
        </w:numPr>
        <w:tabs>
          <w:tab w:val="clear" w:pos="425"/>
        </w:tabs>
        <w:spacing w:line="360" w:lineRule="auto"/>
        <w:ind w:left="1540"/>
        <w:rPr>
          <w:sz w:val="24"/>
          <w:szCs w:val="24"/>
        </w:rPr>
      </w:pPr>
      <w:r>
        <w:rPr>
          <w:sz w:val="24"/>
          <w:szCs w:val="24"/>
        </w:rPr>
        <w:t>Pengawasan dan Pencegahan Terorisme</w:t>
      </w:r>
    </w:p>
    <w:p w:rsidR="007335FD" w:rsidRDefault="00815898">
      <w:pPr>
        <w:pStyle w:val="NoSpacing"/>
        <w:numPr>
          <w:ilvl w:val="0"/>
          <w:numId w:val="10"/>
        </w:numPr>
        <w:tabs>
          <w:tab w:val="clear" w:pos="425"/>
        </w:tabs>
        <w:spacing w:line="360" w:lineRule="auto"/>
        <w:ind w:left="1540"/>
        <w:rPr>
          <w:sz w:val="24"/>
          <w:szCs w:val="24"/>
        </w:rPr>
      </w:pPr>
      <w:r>
        <w:rPr>
          <w:sz w:val="24"/>
          <w:szCs w:val="24"/>
        </w:rPr>
        <w:t xml:space="preserve">Koordinasi dan Pemantauan Pelaksanaan Pemilihan UmumPergantian Antar </w:t>
      </w:r>
    </w:p>
    <w:p w:rsidR="007335FD" w:rsidRDefault="00815898">
      <w:pPr>
        <w:pStyle w:val="NoSpacing"/>
        <w:numPr>
          <w:ilvl w:val="0"/>
          <w:numId w:val="10"/>
        </w:numPr>
        <w:tabs>
          <w:tab w:val="clear" w:pos="425"/>
        </w:tabs>
        <w:spacing w:line="360" w:lineRule="auto"/>
        <w:ind w:left="1540"/>
        <w:rPr>
          <w:sz w:val="24"/>
          <w:szCs w:val="24"/>
        </w:rPr>
      </w:pPr>
      <w:r>
        <w:rPr>
          <w:sz w:val="24"/>
          <w:szCs w:val="24"/>
        </w:rPr>
        <w:t xml:space="preserve">Waktu Anggot DPRD kabupaten/kota di SumbarPengendalian Ketahanan </w:t>
      </w:r>
    </w:p>
    <w:p w:rsidR="007335FD" w:rsidRDefault="00815898">
      <w:pPr>
        <w:pStyle w:val="NoSpacing"/>
        <w:numPr>
          <w:ilvl w:val="0"/>
          <w:numId w:val="10"/>
        </w:numPr>
        <w:tabs>
          <w:tab w:val="clear" w:pos="425"/>
        </w:tabs>
        <w:spacing w:line="360" w:lineRule="auto"/>
        <w:ind w:left="1540"/>
        <w:rPr>
          <w:sz w:val="24"/>
          <w:szCs w:val="24"/>
        </w:rPr>
      </w:pPr>
      <w:r>
        <w:rPr>
          <w:sz w:val="24"/>
          <w:szCs w:val="24"/>
        </w:rPr>
        <w:t>Ekonomi dan Budaya</w:t>
      </w:r>
    </w:p>
    <w:p w:rsidR="007335FD" w:rsidRDefault="00815898">
      <w:pPr>
        <w:pStyle w:val="NoSpacing"/>
        <w:numPr>
          <w:ilvl w:val="0"/>
          <w:numId w:val="9"/>
        </w:numPr>
        <w:spacing w:line="360" w:lineRule="auto"/>
        <w:ind w:left="1100"/>
        <w:rPr>
          <w:sz w:val="24"/>
          <w:szCs w:val="24"/>
        </w:rPr>
      </w:pPr>
      <w:r>
        <w:rPr>
          <w:sz w:val="24"/>
          <w:szCs w:val="24"/>
        </w:rPr>
        <w:t>Program Kemitraan Pengembangan Wawasan Kebangsaan, dengan kegiatan sebagai berikut :</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 xml:space="preserve">Sosialisasi Pemantapan Ketahanan Bangsa </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lastRenderedPageBreak/>
        <w:t>Pembinaan Kerukunan Umat Beragama di Sumatera Barat</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Penguatan Wawasan Bela Begara</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Sosialisasi Pewarisan Nilai-Nilai Luhur Bangsa</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Penguatan Forum Pembauran Kebangsaan</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Pembinaan dan Koordinasi Pemantapan Idiologi dan Wawasan Kebangsaan</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Sosialisasi dan Penanganan Organisasi Aliran Kepercayaan Masyarakat</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Forum Pemantapan Wawasan Kebangsaan</w:t>
      </w:r>
    </w:p>
    <w:p w:rsidR="007335FD" w:rsidRDefault="00815898">
      <w:pPr>
        <w:pStyle w:val="NoSpacing"/>
        <w:numPr>
          <w:ilvl w:val="0"/>
          <w:numId w:val="11"/>
        </w:numPr>
        <w:tabs>
          <w:tab w:val="clear" w:pos="425"/>
        </w:tabs>
        <w:spacing w:line="360" w:lineRule="auto"/>
        <w:ind w:left="1540"/>
        <w:rPr>
          <w:sz w:val="24"/>
          <w:szCs w:val="24"/>
        </w:rPr>
      </w:pPr>
      <w:r>
        <w:rPr>
          <w:rFonts w:hint="eastAsia"/>
          <w:sz w:val="24"/>
          <w:szCs w:val="24"/>
        </w:rPr>
        <w:t>Pembangunan Karakter Bangsa dalam Upaya Mendukung Revolusi Mental</w:t>
      </w:r>
    </w:p>
    <w:p w:rsidR="007335FD" w:rsidRDefault="00815898">
      <w:pPr>
        <w:pStyle w:val="NoSpacing"/>
        <w:numPr>
          <w:ilvl w:val="0"/>
          <w:numId w:val="12"/>
        </w:numPr>
        <w:tabs>
          <w:tab w:val="clear" w:pos="425"/>
        </w:tabs>
        <w:spacing w:line="360" w:lineRule="auto"/>
        <w:ind w:left="1100"/>
        <w:rPr>
          <w:sz w:val="24"/>
          <w:szCs w:val="24"/>
        </w:rPr>
      </w:pPr>
      <w:r>
        <w:rPr>
          <w:sz w:val="24"/>
          <w:szCs w:val="24"/>
        </w:rPr>
        <w:t>Program Pendidikan Politik Masyarakat, dengan kegiatan sebagai berikut :</w:t>
      </w:r>
    </w:p>
    <w:p w:rsidR="007335FD" w:rsidRDefault="00815898">
      <w:pPr>
        <w:pStyle w:val="NoSpacing"/>
        <w:numPr>
          <w:ilvl w:val="0"/>
          <w:numId w:val="13"/>
        </w:numPr>
        <w:tabs>
          <w:tab w:val="clear" w:pos="425"/>
        </w:tabs>
        <w:spacing w:line="360" w:lineRule="auto"/>
        <w:ind w:left="1540"/>
        <w:rPr>
          <w:sz w:val="24"/>
          <w:szCs w:val="24"/>
        </w:rPr>
      </w:pPr>
      <w:r>
        <w:rPr>
          <w:sz w:val="24"/>
          <w:szCs w:val="24"/>
        </w:rPr>
        <w:t>Dialog Politik bersama Parpol, Ormas dan Tokoh Masyarakat</w:t>
      </w:r>
    </w:p>
    <w:p w:rsidR="007335FD" w:rsidRDefault="00815898">
      <w:pPr>
        <w:pStyle w:val="NoSpacing"/>
        <w:numPr>
          <w:ilvl w:val="0"/>
          <w:numId w:val="13"/>
        </w:numPr>
        <w:tabs>
          <w:tab w:val="clear" w:pos="425"/>
        </w:tabs>
        <w:spacing w:line="360" w:lineRule="auto"/>
        <w:ind w:left="1540"/>
        <w:rPr>
          <w:sz w:val="24"/>
          <w:szCs w:val="24"/>
        </w:rPr>
      </w:pPr>
      <w:r>
        <w:rPr>
          <w:sz w:val="24"/>
          <w:szCs w:val="24"/>
        </w:rPr>
        <w:t>Pengelolaan Bantuan Keuangan Partai Politik</w:t>
      </w:r>
    </w:p>
    <w:p w:rsidR="007335FD" w:rsidRDefault="00815898">
      <w:pPr>
        <w:pStyle w:val="NoSpacing"/>
        <w:numPr>
          <w:ilvl w:val="0"/>
          <w:numId w:val="13"/>
        </w:numPr>
        <w:tabs>
          <w:tab w:val="clear" w:pos="425"/>
        </w:tabs>
        <w:spacing w:line="360" w:lineRule="auto"/>
        <w:ind w:left="1540"/>
        <w:rPr>
          <w:sz w:val="24"/>
          <w:szCs w:val="24"/>
        </w:rPr>
      </w:pPr>
      <w:r>
        <w:rPr>
          <w:sz w:val="24"/>
          <w:szCs w:val="24"/>
        </w:rPr>
        <w:t>Sosialisasi dan Pembinaan Ormas</w:t>
      </w:r>
    </w:p>
    <w:p w:rsidR="007335FD" w:rsidRDefault="00815898">
      <w:pPr>
        <w:pStyle w:val="NoSpacing"/>
        <w:numPr>
          <w:ilvl w:val="0"/>
          <w:numId w:val="13"/>
        </w:numPr>
        <w:tabs>
          <w:tab w:val="clear" w:pos="425"/>
        </w:tabs>
        <w:spacing w:line="360" w:lineRule="auto"/>
        <w:ind w:left="1540"/>
        <w:rPr>
          <w:sz w:val="24"/>
          <w:szCs w:val="24"/>
        </w:rPr>
      </w:pPr>
      <w:r>
        <w:rPr>
          <w:sz w:val="24"/>
          <w:szCs w:val="24"/>
        </w:rPr>
        <w:t>Sosialisasi Undang-Undang dan Peraturan Bidang Politik</w:t>
      </w:r>
    </w:p>
    <w:p w:rsidR="007335FD" w:rsidRDefault="00815898">
      <w:pPr>
        <w:pStyle w:val="NoSpacing"/>
        <w:numPr>
          <w:ilvl w:val="0"/>
          <w:numId w:val="13"/>
        </w:numPr>
        <w:tabs>
          <w:tab w:val="clear" w:pos="425"/>
        </w:tabs>
        <w:spacing w:line="360" w:lineRule="auto"/>
        <w:ind w:left="1540"/>
        <w:rPr>
          <w:sz w:val="24"/>
          <w:szCs w:val="24"/>
        </w:rPr>
      </w:pPr>
      <w:r>
        <w:rPr>
          <w:sz w:val="24"/>
          <w:szCs w:val="24"/>
        </w:rPr>
        <w:t>Forkomkon Jajaran Kesbangpol Provinsi dan Kabupaten/Kota di Sumbar</w:t>
      </w:r>
    </w:p>
    <w:p w:rsidR="007335FD" w:rsidRDefault="00815898">
      <w:pPr>
        <w:pStyle w:val="NoSpacing"/>
        <w:numPr>
          <w:ilvl w:val="0"/>
          <w:numId w:val="13"/>
        </w:numPr>
        <w:tabs>
          <w:tab w:val="clear" w:pos="425"/>
        </w:tabs>
        <w:spacing w:line="360" w:lineRule="auto"/>
        <w:ind w:left="1540"/>
        <w:rPr>
          <w:sz w:val="24"/>
          <w:szCs w:val="24"/>
        </w:rPr>
      </w:pPr>
      <w:r>
        <w:rPr>
          <w:sz w:val="24"/>
          <w:szCs w:val="24"/>
        </w:rPr>
        <w:t>Monitoring dan Evaluasi Program dan Kegiatan serta Rapat Kerja Jajaran Kesbangpol Provinsi dengan Kabupaten/Kota</w:t>
      </w:r>
    </w:p>
    <w:p w:rsidR="007335FD" w:rsidRDefault="00815898">
      <w:pPr>
        <w:pStyle w:val="NoSpacing"/>
        <w:numPr>
          <w:ilvl w:val="0"/>
          <w:numId w:val="13"/>
        </w:numPr>
        <w:tabs>
          <w:tab w:val="clear" w:pos="425"/>
        </w:tabs>
        <w:spacing w:line="360" w:lineRule="auto"/>
        <w:ind w:left="1540"/>
        <w:rPr>
          <w:sz w:val="24"/>
          <w:szCs w:val="24"/>
        </w:rPr>
      </w:pPr>
      <w:r>
        <w:rPr>
          <w:sz w:val="24"/>
          <w:szCs w:val="24"/>
        </w:rPr>
        <w:t>Sosialisasi dan Sinkronisasi Kelembagaan Jajaran Kesbangpol se-Sumatera Barat</w:t>
      </w:r>
    </w:p>
    <w:p w:rsidR="007335FD" w:rsidRDefault="00815898">
      <w:pPr>
        <w:pStyle w:val="NoSpacing"/>
        <w:numPr>
          <w:ilvl w:val="0"/>
          <w:numId w:val="13"/>
        </w:numPr>
        <w:tabs>
          <w:tab w:val="clear" w:pos="425"/>
        </w:tabs>
        <w:spacing w:line="360" w:lineRule="auto"/>
        <w:ind w:left="1540"/>
        <w:rPr>
          <w:sz w:val="24"/>
          <w:szCs w:val="24"/>
        </w:rPr>
      </w:pPr>
      <w:r>
        <w:rPr>
          <w:sz w:val="24"/>
          <w:szCs w:val="24"/>
        </w:rPr>
        <w:t>Bimtek Pengajuan dan Pertanggungjawaban Bantuan Keuangan Partai Politik</w:t>
      </w:r>
    </w:p>
    <w:p w:rsidR="007335FD" w:rsidRDefault="00815898">
      <w:pPr>
        <w:pStyle w:val="NoSpacing"/>
        <w:numPr>
          <w:ilvl w:val="0"/>
          <w:numId w:val="13"/>
        </w:numPr>
        <w:tabs>
          <w:tab w:val="clear" w:pos="425"/>
        </w:tabs>
        <w:spacing w:line="360" w:lineRule="auto"/>
        <w:ind w:left="1540"/>
        <w:rPr>
          <w:sz w:val="24"/>
          <w:szCs w:val="24"/>
        </w:rPr>
      </w:pPr>
      <w:r>
        <w:rPr>
          <w:sz w:val="24"/>
          <w:szCs w:val="24"/>
        </w:rPr>
        <w:t xml:space="preserve">Sosialisasi dan Penguatan Indeks Demokrasi Indonesia (IDI) </w:t>
      </w:r>
    </w:p>
    <w:p w:rsidR="007335FD" w:rsidRDefault="007335FD">
      <w:pPr>
        <w:pStyle w:val="NoSpacing"/>
        <w:spacing w:line="360" w:lineRule="auto"/>
        <w:ind w:left="1115"/>
        <w:rPr>
          <w:sz w:val="24"/>
          <w:szCs w:val="24"/>
        </w:rPr>
      </w:pPr>
    </w:p>
    <w:p w:rsidR="007335FD" w:rsidRDefault="00815898">
      <w:pPr>
        <w:pStyle w:val="NoSpacing"/>
        <w:numPr>
          <w:ilvl w:val="0"/>
          <w:numId w:val="12"/>
        </w:numPr>
        <w:spacing w:line="360" w:lineRule="auto"/>
        <w:ind w:left="1100"/>
        <w:rPr>
          <w:sz w:val="24"/>
          <w:szCs w:val="24"/>
        </w:rPr>
      </w:pPr>
      <w:r>
        <w:rPr>
          <w:sz w:val="24"/>
          <w:szCs w:val="24"/>
        </w:rPr>
        <w:t>Program Pencegahan, Penanganan dan Rehabilitasi Narkoba, dengan kegiatan sebagai berikut :</w:t>
      </w:r>
    </w:p>
    <w:p w:rsidR="007335FD" w:rsidRDefault="00815898">
      <w:pPr>
        <w:pStyle w:val="NoSpacing"/>
        <w:numPr>
          <w:ilvl w:val="0"/>
          <w:numId w:val="14"/>
        </w:numPr>
        <w:tabs>
          <w:tab w:val="clear" w:pos="425"/>
        </w:tabs>
        <w:spacing w:line="360" w:lineRule="auto"/>
        <w:ind w:left="1540"/>
        <w:rPr>
          <w:sz w:val="24"/>
          <w:szCs w:val="24"/>
        </w:rPr>
      </w:pPr>
      <w:r>
        <w:rPr>
          <w:sz w:val="24"/>
          <w:szCs w:val="24"/>
        </w:rPr>
        <w:t xml:space="preserve">Sosialisasi Pembekalan penanggulangan penyalahgunaan dan peredaran </w:t>
      </w:r>
      <w:proofErr w:type="gramStart"/>
      <w:r>
        <w:rPr>
          <w:sz w:val="24"/>
          <w:szCs w:val="24"/>
        </w:rPr>
        <w:t>gelap  narkoba</w:t>
      </w:r>
      <w:proofErr w:type="gramEnd"/>
      <w:r>
        <w:rPr>
          <w:sz w:val="24"/>
          <w:szCs w:val="24"/>
        </w:rPr>
        <w:t>.</w:t>
      </w:r>
    </w:p>
    <w:p w:rsidR="007335FD" w:rsidRDefault="00815898">
      <w:pPr>
        <w:pStyle w:val="NoSpacing"/>
        <w:numPr>
          <w:ilvl w:val="0"/>
          <w:numId w:val="14"/>
        </w:numPr>
        <w:tabs>
          <w:tab w:val="clear" w:pos="425"/>
        </w:tabs>
        <w:spacing w:line="360" w:lineRule="auto"/>
        <w:ind w:left="1540"/>
        <w:rPr>
          <w:sz w:val="24"/>
          <w:szCs w:val="24"/>
        </w:rPr>
      </w:pPr>
      <w:r>
        <w:rPr>
          <w:sz w:val="24"/>
          <w:szCs w:val="24"/>
        </w:rPr>
        <w:t xml:space="preserve">Peringatan Hari Anti Narkotika Internasional (HANI)Sosialisasi Perda Tentang </w:t>
      </w:r>
    </w:p>
    <w:p w:rsidR="007335FD" w:rsidRDefault="00815898">
      <w:pPr>
        <w:pStyle w:val="NoSpacing"/>
        <w:numPr>
          <w:ilvl w:val="0"/>
          <w:numId w:val="14"/>
        </w:numPr>
        <w:tabs>
          <w:tab w:val="clear" w:pos="425"/>
        </w:tabs>
        <w:spacing w:line="360" w:lineRule="auto"/>
        <w:ind w:left="1540"/>
        <w:rPr>
          <w:sz w:val="24"/>
          <w:szCs w:val="24"/>
        </w:rPr>
      </w:pPr>
      <w:r>
        <w:rPr>
          <w:sz w:val="24"/>
          <w:szCs w:val="24"/>
        </w:rPr>
        <w:t>Bahaya Penyalahgunaan Narkoba</w:t>
      </w:r>
    </w:p>
    <w:p w:rsidR="007335FD" w:rsidRDefault="00815898">
      <w:pPr>
        <w:pStyle w:val="NoSpacing"/>
        <w:numPr>
          <w:ilvl w:val="0"/>
          <w:numId w:val="12"/>
        </w:numPr>
        <w:spacing w:line="360" w:lineRule="auto"/>
        <w:ind w:left="1100"/>
        <w:rPr>
          <w:sz w:val="24"/>
          <w:szCs w:val="24"/>
        </w:rPr>
      </w:pPr>
      <w:r>
        <w:rPr>
          <w:sz w:val="24"/>
          <w:szCs w:val="24"/>
        </w:rPr>
        <w:t>Program Peningkatan Pemberantasan Penyakit Masyarakat (PEKAT), dengan kegiatan sebagai berikut :</w:t>
      </w:r>
    </w:p>
    <w:p w:rsidR="007335FD" w:rsidRDefault="00815898">
      <w:pPr>
        <w:pStyle w:val="NoSpacing"/>
        <w:numPr>
          <w:ilvl w:val="0"/>
          <w:numId w:val="15"/>
        </w:numPr>
        <w:tabs>
          <w:tab w:val="clear" w:pos="425"/>
        </w:tabs>
        <w:spacing w:line="360" w:lineRule="auto"/>
        <w:ind w:left="1540"/>
        <w:rPr>
          <w:sz w:val="24"/>
          <w:szCs w:val="24"/>
        </w:rPr>
      </w:pPr>
      <w:r>
        <w:rPr>
          <w:sz w:val="24"/>
          <w:szCs w:val="24"/>
        </w:rPr>
        <w:t>Pengawasan dan Pencegahan Perbuatan Maksiat</w:t>
      </w:r>
    </w:p>
    <w:p w:rsidR="007335FD" w:rsidRDefault="00815898">
      <w:pPr>
        <w:pStyle w:val="NoSpacing"/>
        <w:numPr>
          <w:ilvl w:val="0"/>
          <w:numId w:val="15"/>
        </w:numPr>
        <w:tabs>
          <w:tab w:val="clear" w:pos="425"/>
        </w:tabs>
        <w:spacing w:line="360" w:lineRule="auto"/>
        <w:ind w:left="1540"/>
        <w:rPr>
          <w:sz w:val="24"/>
          <w:szCs w:val="24"/>
        </w:rPr>
      </w:pPr>
      <w:r>
        <w:rPr>
          <w:sz w:val="24"/>
          <w:szCs w:val="24"/>
        </w:rPr>
        <w:t>Sosialisasi Perda Fasilitasi Pencegahan Penyalahgunaan NAPZA</w:t>
      </w:r>
    </w:p>
    <w:p w:rsidR="007335FD" w:rsidRDefault="007335FD">
      <w:pPr>
        <w:pStyle w:val="ListParagraph"/>
        <w:tabs>
          <w:tab w:val="center" w:pos="4869"/>
        </w:tabs>
        <w:snapToGrid w:val="0"/>
        <w:spacing w:after="0" w:line="360" w:lineRule="auto"/>
        <w:ind w:left="660"/>
        <w:jc w:val="both"/>
        <w:rPr>
          <w:rFonts w:cs="Tahoma"/>
          <w:color w:val="000000"/>
          <w:sz w:val="24"/>
          <w:szCs w:val="24"/>
        </w:rPr>
      </w:pPr>
    </w:p>
    <w:p w:rsidR="007335FD" w:rsidRDefault="00815898">
      <w:pPr>
        <w:spacing w:line="360" w:lineRule="auto"/>
        <w:ind w:left="530" w:firstLine="715"/>
        <w:jc w:val="both"/>
        <w:rPr>
          <w:rFonts w:hAnsi="Tahoma" w:cs="Tahoma"/>
          <w:sz w:val="24"/>
          <w:szCs w:val="24"/>
          <w:lang w:val="id-ID"/>
        </w:rPr>
      </w:pPr>
      <w:r>
        <w:rPr>
          <w:rFonts w:hAnsi="Tahoma" w:cs="Tahoma"/>
          <w:sz w:val="24"/>
          <w:szCs w:val="24"/>
          <w:lang w:val="id-ID"/>
        </w:rPr>
        <w:lastRenderedPageBreak/>
        <w:t>Secara keseluruhan Rencana Strategis (R</w:t>
      </w:r>
      <w:r>
        <w:rPr>
          <w:rFonts w:hAnsi="Tahoma" w:cs="Tahoma"/>
          <w:sz w:val="24"/>
          <w:szCs w:val="24"/>
        </w:rPr>
        <w:t>enstra</w:t>
      </w:r>
      <w:r>
        <w:rPr>
          <w:rFonts w:hAnsi="Tahoma" w:cs="Tahoma"/>
          <w:sz w:val="24"/>
          <w:szCs w:val="24"/>
          <w:lang w:val="id-ID"/>
        </w:rPr>
        <w:t>) Badan Ke</w:t>
      </w:r>
      <w:r>
        <w:rPr>
          <w:rFonts w:hAnsi="Tahoma" w:cs="Tahoma"/>
          <w:sz w:val="24"/>
          <w:szCs w:val="24"/>
        </w:rPr>
        <w:t>bangpol</w:t>
      </w:r>
      <w:r>
        <w:rPr>
          <w:rFonts w:hAnsi="Tahoma" w:cs="Tahoma"/>
          <w:sz w:val="24"/>
          <w:szCs w:val="24"/>
          <w:lang w:val="id-ID"/>
        </w:rPr>
        <w:t xml:space="preserve"> Provinsi Sumatera Barat tahun 201</w:t>
      </w:r>
      <w:r>
        <w:rPr>
          <w:rFonts w:hAnsi="Tahoma" w:cs="Tahoma"/>
          <w:sz w:val="24"/>
          <w:szCs w:val="24"/>
        </w:rPr>
        <w:t>6</w:t>
      </w:r>
      <w:r>
        <w:rPr>
          <w:rFonts w:hAnsi="Tahoma" w:cs="Tahoma"/>
          <w:sz w:val="24"/>
          <w:szCs w:val="24"/>
          <w:lang w:val="id-ID"/>
        </w:rPr>
        <w:t>-20</w:t>
      </w:r>
      <w:r>
        <w:rPr>
          <w:rFonts w:hAnsi="Tahoma" w:cs="Tahoma"/>
          <w:sz w:val="24"/>
          <w:szCs w:val="24"/>
        </w:rPr>
        <w:t>21</w:t>
      </w:r>
      <w:r>
        <w:rPr>
          <w:rFonts w:hAnsi="Tahoma" w:cs="Tahoma"/>
          <w:sz w:val="24"/>
          <w:szCs w:val="24"/>
          <w:lang w:val="id-ID"/>
        </w:rPr>
        <w:t xml:space="preserve"> telah mengacu pada RPJMD Provinsi Sumatera Barat tahun 201</w:t>
      </w:r>
      <w:r>
        <w:rPr>
          <w:rFonts w:hAnsi="Tahoma" w:cs="Tahoma"/>
          <w:sz w:val="24"/>
          <w:szCs w:val="24"/>
        </w:rPr>
        <w:t>6</w:t>
      </w:r>
      <w:r>
        <w:rPr>
          <w:rFonts w:hAnsi="Tahoma" w:cs="Tahoma"/>
          <w:sz w:val="24"/>
          <w:szCs w:val="24"/>
          <w:lang w:val="id-ID"/>
        </w:rPr>
        <w:t>-20</w:t>
      </w:r>
      <w:r>
        <w:rPr>
          <w:rFonts w:hAnsi="Tahoma" w:cs="Tahoma"/>
          <w:sz w:val="24"/>
          <w:szCs w:val="24"/>
        </w:rPr>
        <w:t>21</w:t>
      </w:r>
      <w:r>
        <w:rPr>
          <w:rFonts w:hAnsi="Tahoma" w:cs="Tahoma"/>
          <w:sz w:val="24"/>
          <w:szCs w:val="24"/>
          <w:lang w:val="id-ID"/>
        </w:rPr>
        <w:t>. Renstra B</w:t>
      </w:r>
      <w:r>
        <w:rPr>
          <w:rFonts w:hAnsi="Tahoma" w:cs="Tahoma"/>
          <w:sz w:val="24"/>
          <w:szCs w:val="24"/>
        </w:rPr>
        <w:t>adan Kesbangpol</w:t>
      </w:r>
      <w:r>
        <w:rPr>
          <w:rFonts w:hAnsi="Tahoma" w:cs="Tahoma"/>
          <w:sz w:val="24"/>
          <w:szCs w:val="24"/>
          <w:lang w:val="id-ID"/>
        </w:rPr>
        <w:t xml:space="preserve"> telah mengakomodir keseluruhan program prioritas pembangunan yang terdapat dalam RPJMD tahun 201</w:t>
      </w:r>
      <w:r>
        <w:rPr>
          <w:rFonts w:hAnsi="Tahoma" w:cs="Tahoma"/>
          <w:sz w:val="24"/>
          <w:szCs w:val="24"/>
        </w:rPr>
        <w:t>6</w:t>
      </w:r>
      <w:r>
        <w:rPr>
          <w:rFonts w:hAnsi="Tahoma" w:cs="Tahoma"/>
          <w:sz w:val="24"/>
          <w:szCs w:val="24"/>
          <w:lang w:val="id-ID"/>
        </w:rPr>
        <w:t>-20</w:t>
      </w:r>
      <w:r>
        <w:rPr>
          <w:rFonts w:hAnsi="Tahoma" w:cs="Tahoma"/>
          <w:sz w:val="24"/>
          <w:szCs w:val="24"/>
        </w:rPr>
        <w:t>21</w:t>
      </w:r>
      <w:r>
        <w:rPr>
          <w:rFonts w:hAnsi="Tahoma" w:cs="Tahoma"/>
          <w:sz w:val="24"/>
          <w:szCs w:val="24"/>
          <w:lang w:val="id-ID"/>
        </w:rPr>
        <w:t>, antara lain:</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Program Pelayanan Administrasi Perkantoran</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Program Peningkatan Sarana dan Prasarana Aparatur</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Program Peningkatan Disiplin Aparatur</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Program Peningkatan Kapasitas Sumber Daya Aparatur</w:t>
      </w:r>
    </w:p>
    <w:p w:rsidR="007335FD" w:rsidRDefault="00815898">
      <w:pPr>
        <w:pStyle w:val="ListParagraph"/>
        <w:numPr>
          <w:ilvl w:val="0"/>
          <w:numId w:val="16"/>
        </w:numPr>
        <w:spacing w:line="360" w:lineRule="auto"/>
        <w:jc w:val="both"/>
        <w:rPr>
          <w:rFonts w:hAnsi="Tahoma" w:cs="Tahoma"/>
          <w:sz w:val="24"/>
          <w:szCs w:val="24"/>
          <w:lang w:val="id-ID"/>
        </w:rPr>
      </w:pPr>
      <w:r>
        <w:rPr>
          <w:rFonts w:hAnsi="Tahoma" w:cs="Tahoma"/>
          <w:sz w:val="24"/>
          <w:szCs w:val="24"/>
        </w:rPr>
        <w:t>Program Peningkatan Pengembangan Sistem Pelaporan Capaian Kinerja dan Keuangan</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lang w:val="id-ID"/>
        </w:rPr>
        <w:t xml:space="preserve">Program Peningkatan </w:t>
      </w:r>
      <w:r>
        <w:rPr>
          <w:rFonts w:hAnsi="Tahoma" w:cs="Tahoma"/>
          <w:sz w:val="24"/>
          <w:szCs w:val="24"/>
        </w:rPr>
        <w:t>Keamanan dan Kenyamanan Lingkungan</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Program Kemitraan Pengembangan Wawasan Kebangsaan</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Program Pendidikan Politik Masyarakat</w:t>
      </w:r>
    </w:p>
    <w:p w:rsidR="007335FD" w:rsidRDefault="00815898">
      <w:pPr>
        <w:pStyle w:val="ListParagraph"/>
        <w:numPr>
          <w:ilvl w:val="0"/>
          <w:numId w:val="16"/>
        </w:numPr>
        <w:spacing w:line="360" w:lineRule="auto"/>
        <w:jc w:val="both"/>
        <w:rPr>
          <w:rFonts w:hAnsi="Tahoma" w:cs="Tahoma"/>
          <w:sz w:val="24"/>
          <w:szCs w:val="24"/>
        </w:rPr>
      </w:pPr>
      <w:r>
        <w:rPr>
          <w:rFonts w:hAnsi="Tahoma" w:cs="Tahoma"/>
          <w:sz w:val="24"/>
          <w:szCs w:val="24"/>
        </w:rPr>
        <w:t xml:space="preserve">Program </w:t>
      </w:r>
      <w:r>
        <w:rPr>
          <w:rFonts w:cs="Tahoma"/>
          <w:color w:val="000000"/>
          <w:sz w:val="24"/>
          <w:szCs w:val="24"/>
        </w:rPr>
        <w:t>Pencegahan, Penanganan dan Rehabilitasi Narkoba</w:t>
      </w:r>
    </w:p>
    <w:p w:rsidR="007335FD" w:rsidRDefault="00815898">
      <w:pPr>
        <w:pStyle w:val="ListParagraph"/>
        <w:numPr>
          <w:ilvl w:val="0"/>
          <w:numId w:val="16"/>
        </w:numPr>
        <w:spacing w:line="360" w:lineRule="auto"/>
        <w:jc w:val="both"/>
        <w:rPr>
          <w:rFonts w:hAnsi="Tahoma" w:cs="Tahoma"/>
          <w:sz w:val="24"/>
          <w:szCs w:val="24"/>
        </w:rPr>
      </w:pPr>
      <w:r>
        <w:rPr>
          <w:rFonts w:cs="Tahoma"/>
          <w:color w:val="000000"/>
          <w:sz w:val="24"/>
          <w:szCs w:val="24"/>
        </w:rPr>
        <w:t xml:space="preserve">Program Peningkatan Pemberantasan Penyakit Masyarakat (PEKAT), </w:t>
      </w:r>
    </w:p>
    <w:p w:rsidR="007335FD" w:rsidRDefault="007335FD">
      <w:pPr>
        <w:pStyle w:val="ListParagraph"/>
        <w:tabs>
          <w:tab w:val="center" w:pos="4869"/>
        </w:tabs>
        <w:snapToGrid w:val="0"/>
        <w:spacing w:after="0" w:line="360" w:lineRule="auto"/>
        <w:ind w:left="0"/>
        <w:rPr>
          <w:rFonts w:cs="Tahoma"/>
          <w:color w:val="000000"/>
          <w:sz w:val="24"/>
          <w:szCs w:val="24"/>
        </w:rPr>
      </w:pPr>
    </w:p>
    <w:p w:rsidR="007335FD" w:rsidRDefault="00851EC5">
      <w:pPr>
        <w:pStyle w:val="ListParagraph"/>
        <w:tabs>
          <w:tab w:val="left" w:pos="880"/>
          <w:tab w:val="center" w:pos="4869"/>
        </w:tabs>
        <w:snapToGrid w:val="0"/>
        <w:spacing w:after="0" w:line="360" w:lineRule="auto"/>
        <w:ind w:left="0"/>
        <w:rPr>
          <w:rFonts w:ascii="Segoe UI Black" w:hAnsi="Segoe UI Black" w:cs="Segoe UI Black"/>
          <w:b/>
          <w:bCs/>
          <w:sz w:val="24"/>
          <w:szCs w:val="24"/>
        </w:rPr>
      </w:pPr>
      <w:r>
        <w:rPr>
          <w:sz w:val="24"/>
        </w:rPr>
        <w:pict>
          <v:line id="_x0000_s1045" style="position:absolute;flip:y;z-index:256671744;mso-width-relative:page;mso-height-relative:page" from=".45pt,22.8pt" to="474.35pt,22.85pt" filled="t" strokecolor="#c00000" strokeweight="4.5pt"/>
        </w:pict>
      </w:r>
      <w:proofErr w:type="gramStart"/>
      <w:r w:rsidR="00815898">
        <w:rPr>
          <w:rFonts w:ascii="Segoe UI Black" w:hAnsi="Segoe UI Black" w:cs="Segoe UI Black"/>
          <w:b/>
          <w:bCs/>
          <w:sz w:val="24"/>
          <w:szCs w:val="24"/>
        </w:rPr>
        <w:t>2.2  Indikator</w:t>
      </w:r>
      <w:proofErr w:type="gramEnd"/>
      <w:r w:rsidR="00815898">
        <w:rPr>
          <w:rFonts w:ascii="Segoe UI Black" w:hAnsi="Segoe UI Black" w:cs="Segoe UI Black"/>
          <w:b/>
          <w:bCs/>
          <w:sz w:val="24"/>
          <w:szCs w:val="24"/>
        </w:rPr>
        <w:t xml:space="preserve"> Kinerja Utama (IKU) Tahun 2016-2021</w:t>
      </w:r>
    </w:p>
    <w:p w:rsidR="007335FD" w:rsidRDefault="007335FD">
      <w:pPr>
        <w:pStyle w:val="ListParagraph"/>
        <w:tabs>
          <w:tab w:val="left" w:pos="880"/>
          <w:tab w:val="center" w:pos="4869"/>
        </w:tabs>
        <w:snapToGrid w:val="0"/>
        <w:spacing w:after="0" w:line="360" w:lineRule="auto"/>
        <w:ind w:left="0"/>
        <w:rPr>
          <w:rFonts w:ascii="Segoe UI Black" w:hAnsi="Segoe UI Black" w:cs="Segoe UI Black"/>
          <w:b/>
          <w:bCs/>
          <w:sz w:val="24"/>
          <w:szCs w:val="24"/>
        </w:rPr>
      </w:pPr>
    </w:p>
    <w:p w:rsidR="007335FD" w:rsidRDefault="00815898">
      <w:pPr>
        <w:pStyle w:val="ListParagraph"/>
        <w:snapToGrid w:val="0"/>
        <w:spacing w:after="0" w:line="360" w:lineRule="auto"/>
        <w:ind w:left="660" w:firstLine="713"/>
        <w:jc w:val="both"/>
        <w:rPr>
          <w:rFonts w:cs="Tahoma"/>
          <w:color w:val="000000"/>
          <w:sz w:val="24"/>
          <w:szCs w:val="24"/>
        </w:rPr>
      </w:pPr>
      <w:r>
        <w:rPr>
          <w:rFonts w:cs="Tahoma"/>
          <w:color w:val="000000"/>
          <w:sz w:val="24"/>
          <w:szCs w:val="24"/>
        </w:rPr>
        <w:t>Dalam melaksanakan tugas pokok dan fungsi Badan Kesatuan Bangsa dan Politik Provinsi Sumatera Barat, maka dalam Perencanaan Strategis  (RENSTRA) 2016-2021 telah ditetapkan sasaran strategis dan Indikator Kinerja Utama (IKU) Badan Kesatuan Bangsa dan Politik Provinsi Sumatera Barat  Tahun 2016-2021, seperti ditunjukkan pada tabel berikut :</w:t>
      </w:r>
    </w:p>
    <w:p w:rsidR="007335FD" w:rsidRDefault="00815898">
      <w:pPr>
        <w:pStyle w:val="NoSpacing"/>
        <w:jc w:val="center"/>
        <w:rPr>
          <w:b/>
          <w:bCs/>
          <w:sz w:val="24"/>
          <w:szCs w:val="24"/>
        </w:rPr>
      </w:pPr>
      <w:r>
        <w:rPr>
          <w:b/>
          <w:bCs/>
          <w:sz w:val="24"/>
          <w:szCs w:val="24"/>
        </w:rPr>
        <w:t>Tabel 2.2</w:t>
      </w:r>
    </w:p>
    <w:p w:rsidR="007335FD" w:rsidRDefault="00815898">
      <w:pPr>
        <w:pStyle w:val="NoSpacing"/>
        <w:jc w:val="center"/>
        <w:rPr>
          <w:b/>
          <w:bCs/>
          <w:sz w:val="24"/>
          <w:szCs w:val="24"/>
        </w:rPr>
      </w:pPr>
      <w:r>
        <w:rPr>
          <w:b/>
          <w:bCs/>
          <w:sz w:val="24"/>
          <w:szCs w:val="24"/>
        </w:rPr>
        <w:t>Tujuan dan Sasaran Jangka Menengah Pelayanan Tahun 2016-2021</w:t>
      </w:r>
    </w:p>
    <w:p w:rsidR="007335FD" w:rsidRDefault="00815898">
      <w:pPr>
        <w:pStyle w:val="NoSpacing"/>
        <w:jc w:val="center"/>
        <w:rPr>
          <w:b/>
          <w:bCs/>
          <w:sz w:val="24"/>
          <w:szCs w:val="24"/>
        </w:rPr>
      </w:pPr>
      <w:r>
        <w:rPr>
          <w:b/>
          <w:bCs/>
          <w:sz w:val="24"/>
          <w:szCs w:val="24"/>
        </w:rPr>
        <w:t>Badan Kesatuan Bangsa dan Politik Provinsi Sumatera Barat</w:t>
      </w:r>
    </w:p>
    <w:tbl>
      <w:tblPr>
        <w:tblStyle w:val="TableGrid"/>
        <w:tblpPr w:leftFromText="180" w:rightFromText="180" w:vertAnchor="text" w:horzAnchor="page" w:tblpX="1791" w:tblpY="283"/>
        <w:tblOverlap w:val="never"/>
        <w:tblW w:w="9175" w:type="dxa"/>
        <w:tblLayout w:type="fixed"/>
        <w:tblLook w:val="04A0" w:firstRow="1" w:lastRow="0" w:firstColumn="1" w:lastColumn="0" w:noHBand="0" w:noVBand="1"/>
      </w:tblPr>
      <w:tblGrid>
        <w:gridCol w:w="475"/>
        <w:gridCol w:w="1281"/>
        <w:gridCol w:w="1078"/>
        <w:gridCol w:w="1177"/>
        <w:gridCol w:w="1367"/>
        <w:gridCol w:w="593"/>
        <w:gridCol w:w="593"/>
        <w:gridCol w:w="712"/>
        <w:gridCol w:w="711"/>
        <w:gridCol w:w="593"/>
        <w:gridCol w:w="595"/>
      </w:tblGrid>
      <w:tr w:rsidR="007335FD">
        <w:tc>
          <w:tcPr>
            <w:tcW w:w="475" w:type="dxa"/>
            <w:vMerge w:val="restart"/>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No</w:t>
            </w:r>
          </w:p>
        </w:tc>
        <w:tc>
          <w:tcPr>
            <w:tcW w:w="1281" w:type="dxa"/>
            <w:vMerge w:val="restart"/>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Tujuan</w:t>
            </w:r>
          </w:p>
        </w:tc>
        <w:tc>
          <w:tcPr>
            <w:tcW w:w="1078" w:type="dxa"/>
            <w:vMerge w:val="restart"/>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Indikator Tujuan</w:t>
            </w:r>
          </w:p>
        </w:tc>
        <w:tc>
          <w:tcPr>
            <w:tcW w:w="1177" w:type="dxa"/>
            <w:vMerge w:val="restart"/>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Sasaran</w:t>
            </w:r>
          </w:p>
        </w:tc>
        <w:tc>
          <w:tcPr>
            <w:tcW w:w="1367" w:type="dxa"/>
            <w:vMerge w:val="restart"/>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Indikator sasaran</w:t>
            </w:r>
          </w:p>
        </w:tc>
        <w:tc>
          <w:tcPr>
            <w:tcW w:w="3797" w:type="dxa"/>
            <w:gridSpan w:val="6"/>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Target kinerja sasaran pada tahun ke</w:t>
            </w:r>
          </w:p>
        </w:tc>
      </w:tr>
      <w:tr w:rsidR="007335FD">
        <w:tc>
          <w:tcPr>
            <w:tcW w:w="475" w:type="dxa"/>
            <w:vMerge/>
            <w:shd w:val="clear" w:color="auto" w:fill="C00000"/>
            <w:vAlign w:val="center"/>
          </w:tcPr>
          <w:p w:rsidR="007335FD" w:rsidRDefault="007335FD">
            <w:pPr>
              <w:pStyle w:val="ListParagraph"/>
              <w:snapToGrid w:val="0"/>
              <w:spacing w:line="360" w:lineRule="auto"/>
              <w:ind w:left="0"/>
              <w:jc w:val="center"/>
              <w:rPr>
                <w:rFonts w:cs="Tahoma"/>
                <w:b/>
                <w:color w:val="FFFFFF" w:themeColor="background1"/>
                <w:sz w:val="18"/>
                <w:szCs w:val="18"/>
              </w:rPr>
            </w:pPr>
          </w:p>
        </w:tc>
        <w:tc>
          <w:tcPr>
            <w:tcW w:w="1281" w:type="dxa"/>
            <w:vMerge/>
            <w:shd w:val="clear" w:color="auto" w:fill="C00000"/>
            <w:vAlign w:val="center"/>
          </w:tcPr>
          <w:p w:rsidR="007335FD" w:rsidRDefault="007335FD">
            <w:pPr>
              <w:pStyle w:val="ListParagraph"/>
              <w:snapToGrid w:val="0"/>
              <w:spacing w:line="360" w:lineRule="auto"/>
              <w:ind w:left="0"/>
              <w:jc w:val="center"/>
              <w:rPr>
                <w:rFonts w:cs="Tahoma"/>
                <w:b/>
                <w:color w:val="FFFFFF" w:themeColor="background1"/>
                <w:sz w:val="18"/>
                <w:szCs w:val="18"/>
              </w:rPr>
            </w:pPr>
          </w:p>
        </w:tc>
        <w:tc>
          <w:tcPr>
            <w:tcW w:w="1078" w:type="dxa"/>
            <w:vMerge/>
            <w:shd w:val="clear" w:color="auto" w:fill="C00000"/>
            <w:vAlign w:val="center"/>
          </w:tcPr>
          <w:p w:rsidR="007335FD" w:rsidRDefault="007335FD">
            <w:pPr>
              <w:pStyle w:val="ListParagraph"/>
              <w:snapToGrid w:val="0"/>
              <w:spacing w:line="360" w:lineRule="auto"/>
              <w:ind w:left="0"/>
              <w:jc w:val="center"/>
              <w:rPr>
                <w:rFonts w:cs="Tahoma"/>
                <w:b/>
                <w:color w:val="FFFFFF" w:themeColor="background1"/>
                <w:sz w:val="18"/>
                <w:szCs w:val="18"/>
              </w:rPr>
            </w:pPr>
          </w:p>
        </w:tc>
        <w:tc>
          <w:tcPr>
            <w:tcW w:w="1177" w:type="dxa"/>
            <w:vMerge/>
            <w:shd w:val="clear" w:color="auto" w:fill="C00000"/>
            <w:vAlign w:val="center"/>
          </w:tcPr>
          <w:p w:rsidR="007335FD" w:rsidRDefault="007335FD">
            <w:pPr>
              <w:pStyle w:val="ListParagraph"/>
              <w:snapToGrid w:val="0"/>
              <w:spacing w:line="360" w:lineRule="auto"/>
              <w:ind w:left="0"/>
              <w:jc w:val="center"/>
              <w:rPr>
                <w:rFonts w:cs="Tahoma"/>
                <w:b/>
                <w:color w:val="FFFFFF" w:themeColor="background1"/>
                <w:sz w:val="18"/>
                <w:szCs w:val="18"/>
              </w:rPr>
            </w:pPr>
          </w:p>
        </w:tc>
        <w:tc>
          <w:tcPr>
            <w:tcW w:w="1367" w:type="dxa"/>
            <w:vMerge/>
            <w:shd w:val="clear" w:color="auto" w:fill="C00000"/>
            <w:vAlign w:val="center"/>
          </w:tcPr>
          <w:p w:rsidR="007335FD" w:rsidRDefault="007335FD">
            <w:pPr>
              <w:pStyle w:val="ListParagraph"/>
              <w:snapToGrid w:val="0"/>
              <w:spacing w:line="360" w:lineRule="auto"/>
              <w:ind w:left="0"/>
              <w:jc w:val="center"/>
              <w:rPr>
                <w:rFonts w:cs="Tahoma"/>
                <w:b/>
                <w:color w:val="FFFFFF" w:themeColor="background1"/>
                <w:sz w:val="18"/>
                <w:szCs w:val="18"/>
              </w:rPr>
            </w:pPr>
          </w:p>
        </w:tc>
        <w:tc>
          <w:tcPr>
            <w:tcW w:w="593" w:type="dxa"/>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2016</w:t>
            </w:r>
          </w:p>
        </w:tc>
        <w:tc>
          <w:tcPr>
            <w:tcW w:w="593" w:type="dxa"/>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2017</w:t>
            </w:r>
          </w:p>
        </w:tc>
        <w:tc>
          <w:tcPr>
            <w:tcW w:w="712" w:type="dxa"/>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2018</w:t>
            </w:r>
          </w:p>
        </w:tc>
        <w:tc>
          <w:tcPr>
            <w:tcW w:w="711" w:type="dxa"/>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2019</w:t>
            </w:r>
          </w:p>
        </w:tc>
        <w:tc>
          <w:tcPr>
            <w:tcW w:w="593" w:type="dxa"/>
            <w:shd w:val="clear" w:color="auto" w:fill="C00000"/>
            <w:vAlign w:val="center"/>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2020</w:t>
            </w:r>
          </w:p>
        </w:tc>
        <w:tc>
          <w:tcPr>
            <w:tcW w:w="593"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2021</w:t>
            </w:r>
          </w:p>
        </w:tc>
      </w:tr>
      <w:tr w:rsidR="007335FD">
        <w:tc>
          <w:tcPr>
            <w:tcW w:w="475"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(1)</w:t>
            </w:r>
          </w:p>
        </w:tc>
        <w:tc>
          <w:tcPr>
            <w:tcW w:w="1281"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(2)</w:t>
            </w:r>
          </w:p>
        </w:tc>
        <w:tc>
          <w:tcPr>
            <w:tcW w:w="1078"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(3)</w:t>
            </w:r>
          </w:p>
        </w:tc>
        <w:tc>
          <w:tcPr>
            <w:tcW w:w="1177"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(4)</w:t>
            </w:r>
          </w:p>
        </w:tc>
        <w:tc>
          <w:tcPr>
            <w:tcW w:w="1367"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(4)</w:t>
            </w:r>
          </w:p>
        </w:tc>
        <w:tc>
          <w:tcPr>
            <w:tcW w:w="593"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(5)</w:t>
            </w:r>
          </w:p>
        </w:tc>
        <w:tc>
          <w:tcPr>
            <w:tcW w:w="593"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(6)</w:t>
            </w:r>
          </w:p>
        </w:tc>
        <w:tc>
          <w:tcPr>
            <w:tcW w:w="712"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(7)</w:t>
            </w:r>
          </w:p>
        </w:tc>
        <w:tc>
          <w:tcPr>
            <w:tcW w:w="711"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(8)</w:t>
            </w:r>
          </w:p>
        </w:tc>
        <w:tc>
          <w:tcPr>
            <w:tcW w:w="593"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(9)</w:t>
            </w:r>
          </w:p>
        </w:tc>
        <w:tc>
          <w:tcPr>
            <w:tcW w:w="593" w:type="dxa"/>
            <w:shd w:val="clear" w:color="auto" w:fill="C00000"/>
          </w:tcPr>
          <w:p w:rsidR="007335FD" w:rsidRDefault="00815898">
            <w:pPr>
              <w:pStyle w:val="ListParagraph"/>
              <w:snapToGrid w:val="0"/>
              <w:spacing w:line="360" w:lineRule="auto"/>
              <w:ind w:left="0"/>
              <w:jc w:val="center"/>
              <w:rPr>
                <w:rFonts w:cs="Tahoma"/>
                <w:b/>
                <w:color w:val="FFFFFF" w:themeColor="background1"/>
                <w:sz w:val="18"/>
                <w:szCs w:val="18"/>
              </w:rPr>
            </w:pPr>
            <w:r>
              <w:rPr>
                <w:rFonts w:cs="Tahoma"/>
                <w:b/>
                <w:color w:val="FFFFFF" w:themeColor="background1"/>
                <w:sz w:val="18"/>
                <w:szCs w:val="18"/>
              </w:rPr>
              <w:t>(10)</w:t>
            </w:r>
          </w:p>
        </w:tc>
      </w:tr>
      <w:tr w:rsidR="007335FD">
        <w:tc>
          <w:tcPr>
            <w:tcW w:w="475" w:type="dxa"/>
          </w:tcPr>
          <w:p w:rsidR="007335FD" w:rsidRDefault="00815898">
            <w:pPr>
              <w:pStyle w:val="ListParagraph"/>
              <w:snapToGrid w:val="0"/>
              <w:spacing w:line="360" w:lineRule="auto"/>
              <w:ind w:left="0"/>
              <w:jc w:val="center"/>
              <w:rPr>
                <w:rFonts w:cs="Tahoma"/>
                <w:color w:val="000000"/>
                <w:sz w:val="18"/>
                <w:szCs w:val="18"/>
              </w:rPr>
            </w:pPr>
            <w:r>
              <w:rPr>
                <w:rFonts w:cs="Tahoma"/>
                <w:color w:val="000000"/>
                <w:sz w:val="18"/>
                <w:szCs w:val="18"/>
              </w:rPr>
              <w:t>1</w:t>
            </w:r>
          </w:p>
        </w:tc>
        <w:tc>
          <w:tcPr>
            <w:tcW w:w="1281" w:type="dxa"/>
          </w:tcPr>
          <w:p w:rsidR="007335FD" w:rsidRDefault="00815898">
            <w:pPr>
              <w:pStyle w:val="NoSpacing"/>
              <w:jc w:val="left"/>
              <w:rPr>
                <w:sz w:val="18"/>
                <w:szCs w:val="18"/>
              </w:rPr>
            </w:pPr>
            <w:r>
              <w:rPr>
                <w:sz w:val="18"/>
                <w:szCs w:val="18"/>
              </w:rPr>
              <w:t>Terwujudnya tata kelola pemerintahan yang efektif dan efisien</w:t>
            </w:r>
          </w:p>
        </w:tc>
        <w:tc>
          <w:tcPr>
            <w:tcW w:w="1078" w:type="dxa"/>
          </w:tcPr>
          <w:p w:rsidR="007335FD" w:rsidRDefault="00815898">
            <w:pPr>
              <w:pStyle w:val="NoSpacing"/>
              <w:jc w:val="left"/>
              <w:rPr>
                <w:sz w:val="18"/>
                <w:szCs w:val="18"/>
              </w:rPr>
            </w:pPr>
            <w:r>
              <w:rPr>
                <w:sz w:val="18"/>
                <w:szCs w:val="18"/>
              </w:rPr>
              <w:t>Nilai Evaluasi Akuntabili-</w:t>
            </w:r>
          </w:p>
          <w:p w:rsidR="007335FD" w:rsidRDefault="00815898">
            <w:pPr>
              <w:pStyle w:val="NoSpacing"/>
              <w:jc w:val="left"/>
              <w:rPr>
                <w:sz w:val="18"/>
                <w:szCs w:val="18"/>
              </w:rPr>
            </w:pPr>
            <w:r>
              <w:rPr>
                <w:sz w:val="18"/>
                <w:szCs w:val="18"/>
              </w:rPr>
              <w:t>tas Kinerja</w:t>
            </w:r>
          </w:p>
        </w:tc>
        <w:tc>
          <w:tcPr>
            <w:tcW w:w="1177" w:type="dxa"/>
          </w:tcPr>
          <w:p w:rsidR="007335FD" w:rsidRDefault="00815898">
            <w:pPr>
              <w:pStyle w:val="NoSpacing"/>
              <w:jc w:val="left"/>
              <w:rPr>
                <w:sz w:val="18"/>
                <w:szCs w:val="18"/>
              </w:rPr>
            </w:pPr>
            <w:r>
              <w:rPr>
                <w:sz w:val="18"/>
                <w:szCs w:val="18"/>
              </w:rPr>
              <w:t xml:space="preserve">Meningkat-nya tata kelola organisasi </w:t>
            </w:r>
          </w:p>
        </w:tc>
        <w:tc>
          <w:tcPr>
            <w:tcW w:w="1367" w:type="dxa"/>
          </w:tcPr>
          <w:p w:rsidR="007335FD" w:rsidRDefault="00815898">
            <w:pPr>
              <w:pStyle w:val="NoSpacing"/>
              <w:numPr>
                <w:ilvl w:val="0"/>
                <w:numId w:val="17"/>
              </w:numPr>
              <w:ind w:left="142" w:hanging="217"/>
              <w:rPr>
                <w:sz w:val="18"/>
                <w:szCs w:val="18"/>
              </w:rPr>
            </w:pPr>
            <w:r>
              <w:rPr>
                <w:sz w:val="18"/>
                <w:szCs w:val="18"/>
              </w:rPr>
              <w:t xml:space="preserve">Nilai Evaluasi Akuntabilitas Kinerja </w:t>
            </w:r>
          </w:p>
          <w:p w:rsidR="007335FD" w:rsidRDefault="00815898">
            <w:pPr>
              <w:pStyle w:val="NoSpacing"/>
              <w:numPr>
                <w:ilvl w:val="0"/>
                <w:numId w:val="17"/>
              </w:numPr>
              <w:ind w:left="142" w:hanging="217"/>
              <w:rPr>
                <w:sz w:val="18"/>
                <w:szCs w:val="18"/>
              </w:rPr>
            </w:pPr>
            <w:r>
              <w:rPr>
                <w:sz w:val="18"/>
                <w:szCs w:val="18"/>
              </w:rPr>
              <w:t xml:space="preserve">Persentase capaian realisasi fisik dan </w:t>
            </w:r>
            <w:r>
              <w:rPr>
                <w:sz w:val="18"/>
                <w:szCs w:val="18"/>
              </w:rPr>
              <w:lastRenderedPageBreak/>
              <w:t>keuangan pelaksanaan  program/</w:t>
            </w:r>
          </w:p>
          <w:p w:rsidR="007335FD" w:rsidRDefault="00815898">
            <w:pPr>
              <w:pStyle w:val="NoSpacing"/>
              <w:ind w:left="142"/>
              <w:rPr>
                <w:sz w:val="18"/>
                <w:szCs w:val="18"/>
              </w:rPr>
            </w:pPr>
            <w:r>
              <w:rPr>
                <w:sz w:val="18"/>
                <w:szCs w:val="18"/>
              </w:rPr>
              <w:t>kegiatan</w:t>
            </w:r>
          </w:p>
        </w:tc>
        <w:tc>
          <w:tcPr>
            <w:tcW w:w="593" w:type="dxa"/>
          </w:tcPr>
          <w:p w:rsidR="007335FD" w:rsidRDefault="00815898">
            <w:pPr>
              <w:pStyle w:val="NoSpacing"/>
              <w:jc w:val="center"/>
              <w:rPr>
                <w:sz w:val="18"/>
                <w:szCs w:val="18"/>
              </w:rPr>
            </w:pPr>
            <w:r>
              <w:rPr>
                <w:sz w:val="18"/>
                <w:szCs w:val="18"/>
              </w:rPr>
              <w:lastRenderedPageBreak/>
              <w:t>BB</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95%</w:t>
            </w:r>
          </w:p>
        </w:tc>
        <w:tc>
          <w:tcPr>
            <w:tcW w:w="593" w:type="dxa"/>
          </w:tcPr>
          <w:p w:rsidR="007335FD" w:rsidRDefault="00815898">
            <w:pPr>
              <w:pStyle w:val="NoSpacing"/>
              <w:jc w:val="center"/>
              <w:rPr>
                <w:sz w:val="18"/>
                <w:szCs w:val="18"/>
              </w:rPr>
            </w:pPr>
            <w:r>
              <w:rPr>
                <w:sz w:val="18"/>
                <w:szCs w:val="18"/>
              </w:rPr>
              <w:t>BB</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95%</w:t>
            </w:r>
          </w:p>
        </w:tc>
        <w:tc>
          <w:tcPr>
            <w:tcW w:w="712" w:type="dxa"/>
          </w:tcPr>
          <w:p w:rsidR="007335FD" w:rsidRDefault="00815898">
            <w:pPr>
              <w:pStyle w:val="NoSpacing"/>
              <w:jc w:val="center"/>
              <w:rPr>
                <w:sz w:val="18"/>
                <w:szCs w:val="18"/>
              </w:rPr>
            </w:pPr>
            <w:r>
              <w:rPr>
                <w:sz w:val="18"/>
                <w:szCs w:val="18"/>
              </w:rPr>
              <w:t>BB</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95%</w:t>
            </w:r>
          </w:p>
        </w:tc>
        <w:tc>
          <w:tcPr>
            <w:tcW w:w="711" w:type="dxa"/>
          </w:tcPr>
          <w:p w:rsidR="007335FD" w:rsidRDefault="00815898">
            <w:pPr>
              <w:pStyle w:val="NoSpacing"/>
              <w:jc w:val="center"/>
              <w:rPr>
                <w:sz w:val="18"/>
                <w:szCs w:val="18"/>
              </w:rPr>
            </w:pPr>
            <w:r>
              <w:rPr>
                <w:sz w:val="18"/>
                <w:szCs w:val="18"/>
              </w:rPr>
              <w:t>BB</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95%</w:t>
            </w:r>
          </w:p>
        </w:tc>
        <w:tc>
          <w:tcPr>
            <w:tcW w:w="593" w:type="dxa"/>
          </w:tcPr>
          <w:p w:rsidR="007335FD" w:rsidRDefault="00815898">
            <w:pPr>
              <w:pStyle w:val="NoSpacing"/>
              <w:jc w:val="center"/>
              <w:rPr>
                <w:sz w:val="18"/>
                <w:szCs w:val="18"/>
              </w:rPr>
            </w:pPr>
            <w:r>
              <w:rPr>
                <w:sz w:val="18"/>
                <w:szCs w:val="18"/>
              </w:rPr>
              <w:t>BB</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95%</w:t>
            </w:r>
          </w:p>
        </w:tc>
        <w:tc>
          <w:tcPr>
            <w:tcW w:w="593" w:type="dxa"/>
          </w:tcPr>
          <w:p w:rsidR="007335FD" w:rsidRDefault="00815898">
            <w:pPr>
              <w:pStyle w:val="NoSpacing"/>
              <w:jc w:val="center"/>
              <w:rPr>
                <w:sz w:val="18"/>
                <w:szCs w:val="18"/>
              </w:rPr>
            </w:pPr>
            <w:r>
              <w:rPr>
                <w:sz w:val="18"/>
                <w:szCs w:val="18"/>
              </w:rPr>
              <w:t>BB</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95%</w:t>
            </w:r>
          </w:p>
        </w:tc>
      </w:tr>
      <w:tr w:rsidR="007335FD">
        <w:tc>
          <w:tcPr>
            <w:tcW w:w="475" w:type="dxa"/>
          </w:tcPr>
          <w:p w:rsidR="007335FD" w:rsidRDefault="00815898">
            <w:pPr>
              <w:pStyle w:val="ListParagraph"/>
              <w:snapToGrid w:val="0"/>
              <w:spacing w:line="360" w:lineRule="auto"/>
              <w:ind w:left="0"/>
              <w:jc w:val="center"/>
              <w:rPr>
                <w:rFonts w:cs="Tahoma"/>
                <w:color w:val="000000"/>
                <w:sz w:val="18"/>
                <w:szCs w:val="18"/>
              </w:rPr>
            </w:pPr>
            <w:r>
              <w:rPr>
                <w:rFonts w:cs="Tahoma"/>
                <w:color w:val="000000"/>
                <w:sz w:val="18"/>
                <w:szCs w:val="18"/>
              </w:rPr>
              <w:lastRenderedPageBreak/>
              <w:t>2</w:t>
            </w:r>
          </w:p>
        </w:tc>
        <w:tc>
          <w:tcPr>
            <w:tcW w:w="1281" w:type="dxa"/>
          </w:tcPr>
          <w:p w:rsidR="007335FD" w:rsidRDefault="00815898">
            <w:pPr>
              <w:pStyle w:val="NoSpacing"/>
              <w:jc w:val="left"/>
              <w:rPr>
                <w:sz w:val="18"/>
                <w:szCs w:val="18"/>
              </w:rPr>
            </w:pPr>
            <w:r>
              <w:rPr>
                <w:sz w:val="18"/>
                <w:szCs w:val="18"/>
              </w:rPr>
              <w:t>Terwujudnya stabilitas keamanan di Sumatera Barat</w:t>
            </w:r>
          </w:p>
        </w:tc>
        <w:tc>
          <w:tcPr>
            <w:tcW w:w="1078" w:type="dxa"/>
          </w:tcPr>
          <w:p w:rsidR="007335FD" w:rsidRDefault="00815898">
            <w:pPr>
              <w:pStyle w:val="NoSpacing"/>
              <w:jc w:val="left"/>
              <w:rPr>
                <w:sz w:val="18"/>
                <w:szCs w:val="18"/>
              </w:rPr>
            </w:pPr>
            <w:r>
              <w:rPr>
                <w:sz w:val="18"/>
                <w:szCs w:val="18"/>
              </w:rPr>
              <w:t xml:space="preserve">Indeks Gatra Pertahanan dan Keamanan </w:t>
            </w:r>
          </w:p>
        </w:tc>
        <w:tc>
          <w:tcPr>
            <w:tcW w:w="1177" w:type="dxa"/>
          </w:tcPr>
          <w:p w:rsidR="007335FD" w:rsidRDefault="00815898">
            <w:pPr>
              <w:pStyle w:val="NoSpacing"/>
              <w:jc w:val="left"/>
              <w:rPr>
                <w:sz w:val="18"/>
                <w:szCs w:val="18"/>
              </w:rPr>
            </w:pPr>
            <w:r>
              <w:rPr>
                <w:sz w:val="18"/>
                <w:szCs w:val="18"/>
              </w:rPr>
              <w:t>Meningkat-nya keamanan, ketentramandan ketertiban masyarakat</w:t>
            </w:r>
          </w:p>
        </w:tc>
        <w:tc>
          <w:tcPr>
            <w:tcW w:w="1367" w:type="dxa"/>
          </w:tcPr>
          <w:p w:rsidR="007335FD" w:rsidRDefault="00815898">
            <w:pPr>
              <w:pStyle w:val="NoSpacing"/>
              <w:numPr>
                <w:ilvl w:val="0"/>
                <w:numId w:val="18"/>
              </w:numPr>
              <w:ind w:left="175" w:hanging="283"/>
              <w:rPr>
                <w:sz w:val="18"/>
                <w:szCs w:val="18"/>
              </w:rPr>
            </w:pPr>
            <w:r>
              <w:rPr>
                <w:sz w:val="18"/>
                <w:szCs w:val="18"/>
              </w:rPr>
              <w:t>Persentase penurunan konflik sosial di Sumbar</w:t>
            </w:r>
          </w:p>
          <w:p w:rsidR="007335FD" w:rsidRDefault="00815898">
            <w:pPr>
              <w:pStyle w:val="NoSpacing"/>
              <w:numPr>
                <w:ilvl w:val="0"/>
                <w:numId w:val="18"/>
              </w:numPr>
              <w:ind w:left="175" w:hanging="283"/>
              <w:rPr>
                <w:sz w:val="18"/>
                <w:szCs w:val="18"/>
              </w:rPr>
            </w:pPr>
            <w:r>
              <w:rPr>
                <w:sz w:val="18"/>
                <w:szCs w:val="18"/>
              </w:rPr>
              <w:t>Persentase penurunan angka kriminalitas di Sumbar</w:t>
            </w:r>
          </w:p>
        </w:tc>
        <w:tc>
          <w:tcPr>
            <w:tcW w:w="593" w:type="dxa"/>
          </w:tcPr>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tc>
        <w:tc>
          <w:tcPr>
            <w:tcW w:w="593" w:type="dxa"/>
          </w:tcPr>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tc>
        <w:tc>
          <w:tcPr>
            <w:tcW w:w="712" w:type="dxa"/>
          </w:tcPr>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tc>
        <w:tc>
          <w:tcPr>
            <w:tcW w:w="711" w:type="dxa"/>
          </w:tcPr>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tc>
        <w:tc>
          <w:tcPr>
            <w:tcW w:w="593" w:type="dxa"/>
          </w:tcPr>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tc>
        <w:tc>
          <w:tcPr>
            <w:tcW w:w="593" w:type="dxa"/>
          </w:tcPr>
          <w:p w:rsidR="007335FD" w:rsidRDefault="00815898">
            <w:pPr>
              <w:pStyle w:val="NoSpacing"/>
              <w:jc w:val="center"/>
              <w:rPr>
                <w:sz w:val="18"/>
                <w:szCs w:val="18"/>
              </w:rPr>
            </w:pPr>
            <w:r>
              <w:rPr>
                <w:sz w:val="18"/>
                <w:szCs w:val="18"/>
              </w:rPr>
              <w:t>5%</w:t>
            </w:r>
          </w:p>
          <w:p w:rsidR="007335FD" w:rsidRDefault="007335FD">
            <w:pPr>
              <w:pStyle w:val="NoSpacing"/>
              <w:jc w:val="center"/>
              <w:rPr>
                <w:sz w:val="18"/>
                <w:szCs w:val="18"/>
              </w:rPr>
            </w:pPr>
          </w:p>
          <w:p w:rsidR="007335FD" w:rsidRDefault="007335FD">
            <w:pPr>
              <w:pStyle w:val="NoSpacing"/>
              <w:jc w:val="center"/>
              <w:rPr>
                <w:sz w:val="18"/>
                <w:szCs w:val="18"/>
              </w:rPr>
            </w:pPr>
          </w:p>
          <w:p w:rsidR="007335FD" w:rsidRDefault="00815898">
            <w:pPr>
              <w:pStyle w:val="NoSpacing"/>
              <w:jc w:val="center"/>
              <w:rPr>
                <w:sz w:val="18"/>
                <w:szCs w:val="18"/>
              </w:rPr>
            </w:pPr>
            <w:r>
              <w:rPr>
                <w:sz w:val="18"/>
                <w:szCs w:val="18"/>
              </w:rPr>
              <w:t>5%</w:t>
            </w:r>
          </w:p>
        </w:tc>
      </w:tr>
      <w:tr w:rsidR="007335FD">
        <w:tc>
          <w:tcPr>
            <w:tcW w:w="475" w:type="dxa"/>
          </w:tcPr>
          <w:p w:rsidR="007335FD" w:rsidRDefault="00815898">
            <w:pPr>
              <w:pStyle w:val="ListParagraph"/>
              <w:snapToGrid w:val="0"/>
              <w:spacing w:line="360" w:lineRule="auto"/>
              <w:ind w:left="0"/>
              <w:jc w:val="center"/>
              <w:rPr>
                <w:rFonts w:cs="Tahoma"/>
                <w:color w:val="000000"/>
                <w:sz w:val="18"/>
                <w:szCs w:val="18"/>
              </w:rPr>
            </w:pPr>
            <w:r>
              <w:rPr>
                <w:rFonts w:cs="Tahoma"/>
                <w:color w:val="000000"/>
                <w:sz w:val="18"/>
                <w:szCs w:val="18"/>
              </w:rPr>
              <w:t>3</w:t>
            </w:r>
          </w:p>
        </w:tc>
        <w:tc>
          <w:tcPr>
            <w:tcW w:w="1281" w:type="dxa"/>
          </w:tcPr>
          <w:p w:rsidR="007335FD" w:rsidRDefault="00815898">
            <w:pPr>
              <w:pStyle w:val="NoSpacing"/>
              <w:jc w:val="left"/>
              <w:rPr>
                <w:sz w:val="18"/>
                <w:szCs w:val="18"/>
              </w:rPr>
            </w:pPr>
            <w:r>
              <w:rPr>
                <w:sz w:val="18"/>
                <w:szCs w:val="18"/>
              </w:rPr>
              <w:t>Terwujudnya situasi dan kondisi politik yang demokratis</w:t>
            </w:r>
          </w:p>
        </w:tc>
        <w:tc>
          <w:tcPr>
            <w:tcW w:w="1078" w:type="dxa"/>
          </w:tcPr>
          <w:p w:rsidR="007335FD" w:rsidRDefault="00815898">
            <w:pPr>
              <w:pStyle w:val="NoSpacing"/>
              <w:jc w:val="left"/>
              <w:rPr>
                <w:sz w:val="18"/>
                <w:szCs w:val="18"/>
              </w:rPr>
            </w:pPr>
            <w:r>
              <w:rPr>
                <w:sz w:val="18"/>
                <w:szCs w:val="18"/>
              </w:rPr>
              <w:t>Indeks Ketahanan Gatra Politik</w:t>
            </w:r>
          </w:p>
        </w:tc>
        <w:tc>
          <w:tcPr>
            <w:tcW w:w="1177" w:type="dxa"/>
          </w:tcPr>
          <w:p w:rsidR="007335FD" w:rsidRDefault="00815898">
            <w:pPr>
              <w:pStyle w:val="NoSpacing"/>
              <w:jc w:val="left"/>
              <w:rPr>
                <w:sz w:val="18"/>
                <w:szCs w:val="18"/>
              </w:rPr>
            </w:pPr>
            <w:r>
              <w:rPr>
                <w:sz w:val="18"/>
                <w:szCs w:val="18"/>
              </w:rPr>
              <w:t>Meningkat-nya kualitas demokrasi di Sumatera Barat</w:t>
            </w:r>
          </w:p>
        </w:tc>
        <w:tc>
          <w:tcPr>
            <w:tcW w:w="1367" w:type="dxa"/>
          </w:tcPr>
          <w:p w:rsidR="007335FD" w:rsidRDefault="00815898">
            <w:pPr>
              <w:pStyle w:val="NoSpacing"/>
              <w:jc w:val="left"/>
              <w:rPr>
                <w:sz w:val="18"/>
                <w:szCs w:val="18"/>
              </w:rPr>
            </w:pPr>
            <w:r>
              <w:rPr>
                <w:sz w:val="18"/>
                <w:szCs w:val="18"/>
              </w:rPr>
              <w:t>Nilai Indeks Demokrasi Indonesia (IDI) di Sumbar</w:t>
            </w:r>
          </w:p>
        </w:tc>
        <w:tc>
          <w:tcPr>
            <w:tcW w:w="593" w:type="dxa"/>
          </w:tcPr>
          <w:p w:rsidR="007335FD" w:rsidRDefault="00815898">
            <w:pPr>
              <w:pStyle w:val="NoSpacing"/>
              <w:jc w:val="center"/>
              <w:rPr>
                <w:sz w:val="18"/>
                <w:szCs w:val="18"/>
              </w:rPr>
            </w:pPr>
            <w:r>
              <w:rPr>
                <w:sz w:val="18"/>
                <w:szCs w:val="18"/>
              </w:rPr>
              <w:t>60</w:t>
            </w:r>
          </w:p>
        </w:tc>
        <w:tc>
          <w:tcPr>
            <w:tcW w:w="593" w:type="dxa"/>
          </w:tcPr>
          <w:p w:rsidR="007335FD" w:rsidRDefault="00815898">
            <w:pPr>
              <w:pStyle w:val="NoSpacing"/>
              <w:jc w:val="center"/>
              <w:rPr>
                <w:sz w:val="18"/>
                <w:szCs w:val="18"/>
              </w:rPr>
            </w:pPr>
            <w:r>
              <w:rPr>
                <w:sz w:val="18"/>
                <w:szCs w:val="18"/>
              </w:rPr>
              <w:t>68</w:t>
            </w:r>
          </w:p>
        </w:tc>
        <w:tc>
          <w:tcPr>
            <w:tcW w:w="712" w:type="dxa"/>
          </w:tcPr>
          <w:p w:rsidR="007335FD" w:rsidRDefault="00815898">
            <w:pPr>
              <w:pStyle w:val="NoSpacing"/>
              <w:jc w:val="center"/>
              <w:rPr>
                <w:sz w:val="18"/>
                <w:szCs w:val="18"/>
              </w:rPr>
            </w:pPr>
            <w:r>
              <w:rPr>
                <w:sz w:val="18"/>
                <w:szCs w:val="18"/>
              </w:rPr>
              <w:t>70</w:t>
            </w:r>
          </w:p>
        </w:tc>
        <w:tc>
          <w:tcPr>
            <w:tcW w:w="711" w:type="dxa"/>
          </w:tcPr>
          <w:p w:rsidR="007335FD" w:rsidRDefault="00815898">
            <w:pPr>
              <w:pStyle w:val="NoSpacing"/>
              <w:jc w:val="center"/>
              <w:rPr>
                <w:sz w:val="18"/>
                <w:szCs w:val="18"/>
              </w:rPr>
            </w:pPr>
            <w:r>
              <w:rPr>
                <w:sz w:val="18"/>
                <w:szCs w:val="18"/>
              </w:rPr>
              <w:t>72</w:t>
            </w:r>
          </w:p>
        </w:tc>
        <w:tc>
          <w:tcPr>
            <w:tcW w:w="593" w:type="dxa"/>
          </w:tcPr>
          <w:p w:rsidR="007335FD" w:rsidRDefault="00815898">
            <w:pPr>
              <w:pStyle w:val="NoSpacing"/>
              <w:jc w:val="center"/>
              <w:rPr>
                <w:sz w:val="18"/>
                <w:szCs w:val="18"/>
              </w:rPr>
            </w:pPr>
            <w:r>
              <w:rPr>
                <w:sz w:val="18"/>
                <w:szCs w:val="18"/>
              </w:rPr>
              <w:t>74</w:t>
            </w:r>
          </w:p>
        </w:tc>
        <w:tc>
          <w:tcPr>
            <w:tcW w:w="593" w:type="dxa"/>
          </w:tcPr>
          <w:p w:rsidR="007335FD" w:rsidRDefault="00815898">
            <w:pPr>
              <w:pStyle w:val="NoSpacing"/>
              <w:jc w:val="center"/>
              <w:rPr>
                <w:sz w:val="18"/>
                <w:szCs w:val="18"/>
              </w:rPr>
            </w:pPr>
            <w:r>
              <w:rPr>
                <w:sz w:val="18"/>
                <w:szCs w:val="18"/>
              </w:rPr>
              <w:t>76</w:t>
            </w:r>
          </w:p>
        </w:tc>
      </w:tr>
    </w:tbl>
    <w:p w:rsidR="007335FD" w:rsidRDefault="007335FD">
      <w:pPr>
        <w:pStyle w:val="NoSpacing"/>
        <w:jc w:val="center"/>
        <w:rPr>
          <w:b/>
          <w:bCs/>
          <w:sz w:val="24"/>
          <w:szCs w:val="24"/>
        </w:rPr>
      </w:pPr>
    </w:p>
    <w:p w:rsidR="007335FD" w:rsidRDefault="007335FD">
      <w:pPr>
        <w:pStyle w:val="ListParagraph"/>
        <w:snapToGrid w:val="0"/>
        <w:spacing w:after="0" w:line="360" w:lineRule="auto"/>
        <w:ind w:left="709"/>
        <w:jc w:val="both"/>
        <w:rPr>
          <w:rFonts w:cs="Tahoma"/>
          <w:color w:val="000000"/>
          <w:sz w:val="24"/>
          <w:szCs w:val="24"/>
        </w:rPr>
      </w:pPr>
    </w:p>
    <w:p w:rsidR="007335FD" w:rsidRDefault="00851EC5">
      <w:pPr>
        <w:pStyle w:val="ListParagraph"/>
        <w:tabs>
          <w:tab w:val="center" w:pos="4869"/>
        </w:tabs>
        <w:snapToGrid w:val="0"/>
        <w:spacing w:after="0" w:line="360" w:lineRule="auto"/>
        <w:ind w:left="0"/>
        <w:rPr>
          <w:rFonts w:cs="Tahoma"/>
          <w:color w:val="000000"/>
          <w:sz w:val="24"/>
          <w:szCs w:val="24"/>
        </w:rPr>
      </w:pPr>
      <w:r>
        <w:rPr>
          <w:sz w:val="24"/>
        </w:rPr>
        <w:pict>
          <v:line id="_x0000_s1067" style="position:absolute;flip:y;z-index:261686272;mso-width-relative:page;mso-height-relative:page" from="-.95pt,21.9pt" to="472.95pt,21.95pt" filled="t" strokecolor="#c00000" strokeweight="4.5pt"/>
        </w:pict>
      </w:r>
      <w:proofErr w:type="gramStart"/>
      <w:r w:rsidR="00815898">
        <w:rPr>
          <w:rFonts w:ascii="Segoe UI Black" w:hAnsi="Segoe UI Black" w:cs="Segoe UI Black"/>
          <w:b/>
          <w:bCs/>
          <w:sz w:val="24"/>
          <w:szCs w:val="24"/>
        </w:rPr>
        <w:t>2.3  Rencana</w:t>
      </w:r>
      <w:proofErr w:type="gramEnd"/>
      <w:r w:rsidR="00815898">
        <w:rPr>
          <w:rFonts w:ascii="Segoe UI Black" w:hAnsi="Segoe UI Black" w:cs="Segoe UI Black"/>
          <w:b/>
          <w:bCs/>
          <w:sz w:val="24"/>
          <w:szCs w:val="24"/>
        </w:rPr>
        <w:t xml:space="preserve"> Kerja Tahunan (RKT) Tahun 2018</w:t>
      </w:r>
    </w:p>
    <w:p w:rsidR="007335FD" w:rsidRDefault="007335FD">
      <w:pPr>
        <w:pStyle w:val="BodyTextIndent2"/>
        <w:ind w:left="440" w:firstLine="660"/>
        <w:rPr>
          <w:rFonts w:hAnsi="Tahoma" w:cs="Tahoma"/>
          <w:bCs/>
          <w:sz w:val="24"/>
          <w:szCs w:val="24"/>
          <w:lang w:val="id-ID"/>
        </w:rPr>
      </w:pPr>
    </w:p>
    <w:p w:rsidR="007335FD" w:rsidRDefault="00815898">
      <w:pPr>
        <w:pStyle w:val="BodyTextIndent2"/>
        <w:ind w:left="440" w:firstLine="660"/>
        <w:rPr>
          <w:rFonts w:hAnsi="Tahoma" w:cs="Tahoma"/>
          <w:bCs/>
          <w:sz w:val="24"/>
          <w:szCs w:val="24"/>
        </w:rPr>
      </w:pPr>
      <w:r>
        <w:rPr>
          <w:rFonts w:hAnsi="Tahoma" w:cs="Tahoma"/>
          <w:bCs/>
          <w:sz w:val="24"/>
          <w:szCs w:val="24"/>
          <w:lang w:val="id-ID"/>
        </w:rPr>
        <w:t>Rencana Kinerja Tahunan (RKT) merupakan perencanaan kinerja dengan target jangka pendek yang memuat sasaran, program serta indikator kinerja. P</w:t>
      </w:r>
      <w:r>
        <w:rPr>
          <w:rFonts w:hAnsi="Tahoma" w:cs="Tahoma"/>
          <w:bCs/>
          <w:sz w:val="24"/>
          <w:szCs w:val="24"/>
        </w:rPr>
        <w:t>ada tahun anggaran 2018, Rencana Kinerja Tahunan Badan Kesbangpol Provinsi Sumatera Barat adalah seperti tabel berikut:</w:t>
      </w:r>
    </w:p>
    <w:p w:rsidR="007335FD" w:rsidRDefault="007335FD">
      <w:pPr>
        <w:pStyle w:val="ListParagraph"/>
        <w:snapToGrid w:val="0"/>
        <w:spacing w:after="0" w:line="360" w:lineRule="auto"/>
        <w:ind w:left="709"/>
        <w:jc w:val="both"/>
        <w:rPr>
          <w:rFonts w:cs="Tahoma"/>
          <w:color w:val="000000"/>
          <w:sz w:val="24"/>
          <w:szCs w:val="24"/>
        </w:rPr>
      </w:pPr>
    </w:p>
    <w:p w:rsidR="007335FD" w:rsidRDefault="007335FD">
      <w:pPr>
        <w:pStyle w:val="ListParagraph"/>
        <w:snapToGrid w:val="0"/>
        <w:spacing w:after="0" w:line="360" w:lineRule="auto"/>
        <w:ind w:left="709"/>
        <w:jc w:val="both"/>
        <w:rPr>
          <w:rFonts w:cs="Tahoma"/>
          <w:color w:val="000000"/>
          <w:sz w:val="24"/>
          <w:szCs w:val="24"/>
        </w:rPr>
      </w:pPr>
    </w:p>
    <w:p w:rsidR="007335FD" w:rsidRDefault="007335FD">
      <w:pPr>
        <w:pStyle w:val="NoSpacing"/>
        <w:jc w:val="center"/>
        <w:rPr>
          <w:b/>
          <w:bCs/>
          <w:sz w:val="24"/>
          <w:szCs w:val="24"/>
        </w:rPr>
      </w:pPr>
    </w:p>
    <w:p w:rsidR="007335FD" w:rsidRDefault="00815898">
      <w:pPr>
        <w:pStyle w:val="NoSpacing"/>
        <w:jc w:val="center"/>
        <w:rPr>
          <w:b/>
          <w:bCs/>
          <w:sz w:val="24"/>
          <w:szCs w:val="24"/>
        </w:rPr>
      </w:pPr>
      <w:r>
        <w:rPr>
          <w:b/>
          <w:bCs/>
          <w:sz w:val="24"/>
          <w:szCs w:val="24"/>
        </w:rPr>
        <w:t>Tabel 2.3</w:t>
      </w:r>
    </w:p>
    <w:p w:rsidR="007335FD" w:rsidRDefault="00815898">
      <w:pPr>
        <w:pStyle w:val="NoSpacing"/>
        <w:jc w:val="center"/>
        <w:rPr>
          <w:b/>
          <w:bCs/>
          <w:sz w:val="24"/>
          <w:szCs w:val="24"/>
        </w:rPr>
      </w:pPr>
      <w:r>
        <w:rPr>
          <w:b/>
          <w:bCs/>
          <w:sz w:val="24"/>
          <w:szCs w:val="24"/>
        </w:rPr>
        <w:t>Rencana Kerja Tahunan Tahun 2018</w:t>
      </w:r>
    </w:p>
    <w:p w:rsidR="007335FD" w:rsidRDefault="00815898">
      <w:pPr>
        <w:pStyle w:val="NoSpacing"/>
        <w:jc w:val="center"/>
        <w:rPr>
          <w:b/>
          <w:bCs/>
          <w:sz w:val="24"/>
          <w:szCs w:val="24"/>
        </w:rPr>
      </w:pPr>
      <w:r>
        <w:rPr>
          <w:b/>
          <w:bCs/>
          <w:sz w:val="24"/>
          <w:szCs w:val="24"/>
        </w:rPr>
        <w:t>Badan Kesatuan Bangsa dan Politik Provinsi Sumatera Barat</w:t>
      </w:r>
    </w:p>
    <w:p w:rsidR="007335FD" w:rsidRDefault="007335FD">
      <w:pPr>
        <w:pStyle w:val="NoSpacing"/>
        <w:jc w:val="center"/>
        <w:rPr>
          <w:b/>
          <w:bCs/>
          <w:sz w:val="24"/>
          <w:szCs w:val="24"/>
        </w:rPr>
      </w:pPr>
    </w:p>
    <w:tbl>
      <w:tblPr>
        <w:tblW w:w="8199" w:type="dxa"/>
        <w:jc w:val="center"/>
        <w:tblInd w:w="-71" w:type="dxa"/>
        <w:tblLayout w:type="fixed"/>
        <w:tblLook w:val="04A0" w:firstRow="1" w:lastRow="0" w:firstColumn="1" w:lastColumn="0" w:noHBand="0" w:noVBand="1"/>
      </w:tblPr>
      <w:tblGrid>
        <w:gridCol w:w="710"/>
        <w:gridCol w:w="2192"/>
        <w:gridCol w:w="368"/>
        <w:gridCol w:w="3818"/>
        <w:gridCol w:w="1111"/>
      </w:tblGrid>
      <w:tr w:rsidR="007335FD">
        <w:trPr>
          <w:cantSplit/>
          <w:trHeight w:val="345"/>
          <w:jc w:val="center"/>
        </w:trPr>
        <w:tc>
          <w:tcPr>
            <w:tcW w:w="710" w:type="dxa"/>
            <w:tcBorders>
              <w:top w:val="single" w:sz="8" w:space="0" w:color="auto"/>
              <w:left w:val="single" w:sz="8" w:space="0" w:color="auto"/>
              <w:bottom w:val="single" w:sz="8" w:space="0" w:color="000001"/>
              <w:right w:val="single" w:sz="8" w:space="0" w:color="auto"/>
            </w:tcBorders>
            <w:shd w:val="clear" w:color="000000" w:fill="C00000"/>
            <w:vAlign w:val="center"/>
          </w:tcPr>
          <w:p w:rsidR="007335FD" w:rsidRDefault="00815898">
            <w:pPr>
              <w:jc w:val="center"/>
              <w:rPr>
                <w:rFonts w:hAnsiTheme="minorEastAsia" w:cstheme="minorEastAsia"/>
                <w:b/>
                <w:bCs/>
                <w:color w:val="FFFFFF" w:themeColor="background1"/>
                <w:lang w:val="id-ID" w:eastAsia="id-ID"/>
              </w:rPr>
            </w:pPr>
            <w:r>
              <w:rPr>
                <w:rFonts w:hAnsiTheme="minorEastAsia" w:cstheme="minorEastAsia" w:hint="eastAsia"/>
                <w:b/>
                <w:bCs/>
                <w:color w:val="FFFFFF" w:themeColor="background1"/>
                <w:lang w:eastAsia="id-ID"/>
              </w:rPr>
              <w:t>No.</w:t>
            </w:r>
          </w:p>
        </w:tc>
        <w:tc>
          <w:tcPr>
            <w:tcW w:w="2192" w:type="dxa"/>
            <w:tcBorders>
              <w:top w:val="single" w:sz="8" w:space="0" w:color="auto"/>
              <w:left w:val="nil"/>
              <w:bottom w:val="single" w:sz="8" w:space="0" w:color="000001"/>
              <w:right w:val="single" w:sz="8" w:space="0" w:color="000001"/>
            </w:tcBorders>
            <w:shd w:val="clear" w:color="000000" w:fill="C00000"/>
            <w:vAlign w:val="center"/>
          </w:tcPr>
          <w:p w:rsidR="007335FD" w:rsidRDefault="00815898">
            <w:pPr>
              <w:jc w:val="center"/>
              <w:rPr>
                <w:rFonts w:hAnsiTheme="minorEastAsia" w:cstheme="minorEastAsia"/>
                <w:b/>
                <w:bCs/>
                <w:color w:val="FFFFFF" w:themeColor="background1"/>
                <w:lang w:val="id-ID" w:eastAsia="id-ID"/>
              </w:rPr>
            </w:pPr>
            <w:r>
              <w:rPr>
                <w:rFonts w:hAnsiTheme="minorEastAsia" w:cstheme="minorEastAsia" w:hint="eastAsia"/>
                <w:b/>
                <w:bCs/>
                <w:color w:val="FFFFFF" w:themeColor="background1"/>
                <w:lang w:eastAsia="id-ID"/>
              </w:rPr>
              <w:t>Sasaran Strategis</w:t>
            </w:r>
          </w:p>
        </w:tc>
        <w:tc>
          <w:tcPr>
            <w:tcW w:w="368" w:type="dxa"/>
            <w:tcBorders>
              <w:top w:val="single" w:sz="8" w:space="0" w:color="auto"/>
              <w:left w:val="nil"/>
              <w:bottom w:val="single" w:sz="8" w:space="0" w:color="000001"/>
              <w:right w:val="nil"/>
            </w:tcBorders>
            <w:shd w:val="clear" w:color="000000" w:fill="C00000"/>
            <w:vAlign w:val="center"/>
          </w:tcPr>
          <w:p w:rsidR="007335FD" w:rsidRDefault="007335FD">
            <w:pPr>
              <w:jc w:val="center"/>
              <w:rPr>
                <w:rFonts w:hAnsiTheme="minorEastAsia" w:cstheme="minorEastAsia"/>
                <w:b/>
                <w:bCs/>
                <w:color w:val="FFFFFF" w:themeColor="background1"/>
                <w:lang w:val="id-ID" w:eastAsia="id-ID"/>
              </w:rPr>
            </w:pPr>
          </w:p>
        </w:tc>
        <w:tc>
          <w:tcPr>
            <w:tcW w:w="3818" w:type="dxa"/>
            <w:tcBorders>
              <w:top w:val="single" w:sz="8" w:space="0" w:color="auto"/>
              <w:left w:val="nil"/>
              <w:bottom w:val="single" w:sz="8" w:space="0" w:color="000001"/>
              <w:right w:val="single" w:sz="8" w:space="0" w:color="000001"/>
            </w:tcBorders>
            <w:shd w:val="clear" w:color="000000" w:fill="C00000"/>
            <w:vAlign w:val="center"/>
          </w:tcPr>
          <w:p w:rsidR="007335FD" w:rsidRDefault="00815898">
            <w:pPr>
              <w:jc w:val="center"/>
              <w:rPr>
                <w:rFonts w:hAnsiTheme="minorEastAsia" w:cstheme="minorEastAsia"/>
                <w:b/>
                <w:bCs/>
                <w:color w:val="FFFFFF" w:themeColor="background1"/>
                <w:lang w:val="id-ID" w:eastAsia="id-ID"/>
              </w:rPr>
            </w:pPr>
            <w:r>
              <w:rPr>
                <w:rFonts w:hAnsiTheme="minorEastAsia" w:cstheme="minorEastAsia" w:hint="eastAsia"/>
                <w:b/>
                <w:bCs/>
                <w:color w:val="FFFFFF" w:themeColor="background1"/>
                <w:lang w:eastAsia="id-ID"/>
              </w:rPr>
              <w:t>Indikator Kinerja</w:t>
            </w:r>
          </w:p>
        </w:tc>
        <w:tc>
          <w:tcPr>
            <w:tcW w:w="1111" w:type="dxa"/>
            <w:tcBorders>
              <w:top w:val="single" w:sz="8" w:space="0" w:color="auto"/>
              <w:left w:val="nil"/>
              <w:bottom w:val="single" w:sz="8" w:space="0" w:color="000001"/>
              <w:right w:val="single" w:sz="8" w:space="0" w:color="auto"/>
            </w:tcBorders>
            <w:shd w:val="clear" w:color="000000" w:fill="C00000"/>
            <w:vAlign w:val="center"/>
          </w:tcPr>
          <w:p w:rsidR="007335FD" w:rsidRDefault="00815898">
            <w:pPr>
              <w:jc w:val="center"/>
              <w:rPr>
                <w:rFonts w:hAnsiTheme="minorEastAsia" w:cstheme="minorEastAsia"/>
                <w:b/>
                <w:bCs/>
                <w:color w:val="FFFFFF" w:themeColor="background1"/>
                <w:lang w:val="id-ID" w:eastAsia="id-ID"/>
              </w:rPr>
            </w:pPr>
            <w:r>
              <w:rPr>
                <w:rFonts w:hAnsiTheme="minorEastAsia" w:cstheme="minorEastAsia" w:hint="eastAsia"/>
                <w:b/>
                <w:bCs/>
                <w:color w:val="FFFFFF" w:themeColor="background1"/>
                <w:lang w:eastAsia="id-ID"/>
              </w:rPr>
              <w:t>Target</w:t>
            </w:r>
          </w:p>
        </w:tc>
      </w:tr>
      <w:tr w:rsidR="007335FD">
        <w:trPr>
          <w:cantSplit/>
          <w:trHeight w:val="670"/>
          <w:jc w:val="center"/>
        </w:trPr>
        <w:tc>
          <w:tcPr>
            <w:tcW w:w="710" w:type="dxa"/>
            <w:tcBorders>
              <w:top w:val="nil"/>
              <w:left w:val="single" w:sz="8" w:space="0" w:color="auto"/>
              <w:bottom w:val="nil"/>
              <w:right w:val="single" w:sz="8" w:space="0" w:color="auto"/>
            </w:tcBorders>
            <w:shd w:val="clear" w:color="000000" w:fill="FFFFFF"/>
          </w:tcPr>
          <w:p w:rsidR="007335FD" w:rsidRDefault="00815898">
            <w:pPr>
              <w:rPr>
                <w:rFonts w:hAnsiTheme="minorEastAsia" w:cstheme="minorEastAsia"/>
                <w:color w:val="000000"/>
                <w:lang w:val="id-ID" w:eastAsia="id-ID"/>
              </w:rPr>
            </w:pPr>
            <w:r>
              <w:rPr>
                <w:rFonts w:hAnsiTheme="minorEastAsia" w:cstheme="minorEastAsia" w:hint="eastAsia"/>
                <w:color w:val="000000"/>
                <w:lang w:eastAsia="id-ID"/>
              </w:rPr>
              <w:t>1</w:t>
            </w:r>
          </w:p>
        </w:tc>
        <w:tc>
          <w:tcPr>
            <w:tcW w:w="2192" w:type="dxa"/>
            <w:tcBorders>
              <w:top w:val="nil"/>
              <w:left w:val="nil"/>
              <w:bottom w:val="nil"/>
              <w:right w:val="single" w:sz="8" w:space="0" w:color="000001"/>
            </w:tcBorders>
            <w:shd w:val="clear" w:color="000000" w:fill="FFFFFF"/>
          </w:tcPr>
          <w:p w:rsidR="007335FD" w:rsidRDefault="00815898">
            <w:pPr>
              <w:rPr>
                <w:rFonts w:hAnsiTheme="minorEastAsia" w:cstheme="minorEastAsia"/>
                <w:color w:val="000000"/>
                <w:lang w:val="id-ID" w:eastAsia="id-ID"/>
              </w:rPr>
            </w:pPr>
            <w:r>
              <w:rPr>
                <w:rFonts w:hAnsiTheme="minorEastAsia" w:cstheme="minorEastAsia" w:hint="eastAsia"/>
              </w:rPr>
              <w:t xml:space="preserve">Meningkatnya tata kelola organisasi </w:t>
            </w:r>
          </w:p>
        </w:tc>
        <w:tc>
          <w:tcPr>
            <w:tcW w:w="368" w:type="dxa"/>
            <w:tcBorders>
              <w:top w:val="nil"/>
              <w:left w:val="nil"/>
              <w:bottom w:val="nil"/>
              <w:right w:val="nil"/>
            </w:tcBorders>
            <w:shd w:val="clear" w:color="000000" w:fill="FFFFFF"/>
          </w:tcPr>
          <w:p w:rsidR="007335FD" w:rsidRDefault="00815898">
            <w:pPr>
              <w:jc w:val="center"/>
              <w:rPr>
                <w:rFonts w:hAnsiTheme="minorEastAsia" w:cstheme="minorEastAsia"/>
                <w:color w:val="000000"/>
                <w:lang w:val="id-ID" w:eastAsia="id-ID"/>
              </w:rPr>
            </w:pPr>
            <w:r>
              <w:rPr>
                <w:rFonts w:hAnsiTheme="minorEastAsia" w:cstheme="minorEastAsia" w:hint="eastAsia"/>
                <w:color w:val="000000"/>
                <w:lang w:eastAsia="id-ID"/>
              </w:rPr>
              <w:t>a</w:t>
            </w:r>
          </w:p>
        </w:tc>
        <w:tc>
          <w:tcPr>
            <w:tcW w:w="3818" w:type="dxa"/>
            <w:tcBorders>
              <w:top w:val="nil"/>
              <w:left w:val="nil"/>
              <w:bottom w:val="nil"/>
              <w:right w:val="single" w:sz="8" w:space="0" w:color="000001"/>
            </w:tcBorders>
            <w:shd w:val="clear" w:color="000000" w:fill="FFFFFF"/>
          </w:tcPr>
          <w:p w:rsidR="007335FD" w:rsidRDefault="00815898">
            <w:pPr>
              <w:jc w:val="both"/>
              <w:rPr>
                <w:rFonts w:hAnsiTheme="minorEastAsia" w:cstheme="minorEastAsia"/>
                <w:color w:val="000000"/>
                <w:lang w:val="id-ID" w:eastAsia="id-ID"/>
              </w:rPr>
            </w:pPr>
            <w:r>
              <w:rPr>
                <w:rFonts w:hAnsiTheme="minorEastAsia" w:cstheme="minorEastAsia" w:hint="eastAsia"/>
              </w:rPr>
              <w:t xml:space="preserve">Nilai Evaluasi Akuntabilitas Kinerja </w:t>
            </w:r>
          </w:p>
        </w:tc>
        <w:tc>
          <w:tcPr>
            <w:tcW w:w="1111" w:type="dxa"/>
            <w:tcBorders>
              <w:top w:val="nil"/>
              <w:left w:val="nil"/>
              <w:bottom w:val="nil"/>
              <w:right w:val="single" w:sz="8" w:space="0" w:color="auto"/>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color w:val="000000"/>
                <w:lang w:eastAsia="id-ID"/>
              </w:rPr>
              <w:t>BB</w:t>
            </w:r>
          </w:p>
        </w:tc>
      </w:tr>
      <w:tr w:rsidR="007335FD">
        <w:trPr>
          <w:cantSplit/>
          <w:trHeight w:val="878"/>
          <w:jc w:val="center"/>
        </w:trPr>
        <w:tc>
          <w:tcPr>
            <w:tcW w:w="710" w:type="dxa"/>
            <w:tcBorders>
              <w:top w:val="nil"/>
              <w:left w:val="single" w:sz="8" w:space="0" w:color="auto"/>
              <w:right w:val="single" w:sz="8" w:space="0" w:color="auto"/>
            </w:tcBorders>
            <w:shd w:val="clear" w:color="000000" w:fill="FFFFFF"/>
          </w:tcPr>
          <w:p w:rsidR="007335FD" w:rsidRDefault="00815898">
            <w:pPr>
              <w:rPr>
                <w:rFonts w:hAnsiTheme="minorEastAsia" w:cstheme="minorEastAsia"/>
                <w:color w:val="000000"/>
                <w:lang w:val="id-ID" w:eastAsia="id-ID"/>
              </w:rPr>
            </w:pPr>
            <w:r>
              <w:rPr>
                <w:rFonts w:hAnsiTheme="minorEastAsia" w:cstheme="minorEastAsia" w:hint="eastAsia"/>
                <w:color w:val="000000"/>
                <w:lang w:eastAsia="id-ID"/>
              </w:rPr>
              <w:t> </w:t>
            </w:r>
          </w:p>
        </w:tc>
        <w:tc>
          <w:tcPr>
            <w:tcW w:w="2192" w:type="dxa"/>
            <w:tcBorders>
              <w:top w:val="nil"/>
              <w:left w:val="nil"/>
              <w:right w:val="single" w:sz="8" w:space="0" w:color="000001"/>
            </w:tcBorders>
            <w:shd w:val="clear" w:color="000000" w:fill="FFFFFF"/>
          </w:tcPr>
          <w:p w:rsidR="007335FD" w:rsidRDefault="00815898">
            <w:pPr>
              <w:rPr>
                <w:rFonts w:hAnsiTheme="minorEastAsia" w:cstheme="minorEastAsia"/>
                <w:color w:val="000000"/>
                <w:lang w:val="id-ID" w:eastAsia="id-ID"/>
              </w:rPr>
            </w:pPr>
            <w:r>
              <w:rPr>
                <w:rFonts w:hAnsiTheme="minorEastAsia" w:cstheme="minorEastAsia" w:hint="eastAsia"/>
                <w:color w:val="000000"/>
                <w:lang w:eastAsia="id-ID"/>
              </w:rPr>
              <w:t> </w:t>
            </w:r>
          </w:p>
        </w:tc>
        <w:tc>
          <w:tcPr>
            <w:tcW w:w="368" w:type="dxa"/>
            <w:tcBorders>
              <w:top w:val="single" w:sz="8" w:space="0" w:color="000001"/>
              <w:left w:val="nil"/>
              <w:bottom w:val="single" w:sz="4" w:space="0" w:color="auto"/>
              <w:right w:val="nil"/>
            </w:tcBorders>
            <w:shd w:val="clear" w:color="000000" w:fill="FFFFFF"/>
          </w:tcPr>
          <w:p w:rsidR="007335FD" w:rsidRDefault="00815898">
            <w:pPr>
              <w:jc w:val="center"/>
              <w:rPr>
                <w:rFonts w:hAnsiTheme="minorEastAsia" w:cstheme="minorEastAsia"/>
                <w:color w:val="000000"/>
                <w:lang w:val="id-ID" w:eastAsia="id-ID"/>
              </w:rPr>
            </w:pPr>
            <w:r>
              <w:rPr>
                <w:rFonts w:hAnsiTheme="minorEastAsia" w:cstheme="minorEastAsia" w:hint="eastAsia"/>
                <w:color w:val="000000"/>
                <w:lang w:eastAsia="id-ID"/>
              </w:rPr>
              <w:t>b</w:t>
            </w:r>
          </w:p>
        </w:tc>
        <w:tc>
          <w:tcPr>
            <w:tcW w:w="3818" w:type="dxa"/>
            <w:tcBorders>
              <w:top w:val="single" w:sz="8" w:space="0" w:color="000001"/>
              <w:left w:val="nil"/>
              <w:bottom w:val="single" w:sz="4" w:space="0" w:color="auto"/>
              <w:right w:val="single" w:sz="8" w:space="0" w:color="000001"/>
            </w:tcBorders>
            <w:shd w:val="clear" w:color="000000" w:fill="FFFFFF"/>
          </w:tcPr>
          <w:p w:rsidR="007335FD" w:rsidRDefault="00815898">
            <w:pPr>
              <w:pStyle w:val="NoSpacing"/>
              <w:ind w:left="-75"/>
              <w:jc w:val="left"/>
              <w:rPr>
                <w:rFonts w:hAnsiTheme="minorEastAsia" w:cstheme="minorEastAsia"/>
                <w:color w:val="000000"/>
                <w:sz w:val="22"/>
                <w:szCs w:val="22"/>
                <w:lang w:val="id-ID" w:eastAsia="id-ID"/>
              </w:rPr>
            </w:pPr>
            <w:r>
              <w:rPr>
                <w:rFonts w:hAnsiTheme="minorEastAsia" w:cstheme="minorEastAsia" w:hint="eastAsia"/>
                <w:sz w:val="22"/>
                <w:szCs w:val="22"/>
              </w:rPr>
              <w:t>Persentase capaian realisasi fisik dan keuangan pelaksanaan  program/</w:t>
            </w:r>
            <w:r>
              <w:rPr>
                <w:rFonts w:hAnsiTheme="minorEastAsia" w:cstheme="minorEastAsia"/>
                <w:sz w:val="22"/>
                <w:szCs w:val="22"/>
              </w:rPr>
              <w:t xml:space="preserve"> </w:t>
            </w:r>
            <w:r>
              <w:rPr>
                <w:rFonts w:hAnsiTheme="minorEastAsia" w:cstheme="minorEastAsia" w:hint="eastAsia"/>
                <w:sz w:val="22"/>
                <w:szCs w:val="22"/>
              </w:rPr>
              <w:t>kegiatan</w:t>
            </w:r>
          </w:p>
        </w:tc>
        <w:tc>
          <w:tcPr>
            <w:tcW w:w="1111" w:type="dxa"/>
            <w:tcBorders>
              <w:top w:val="single" w:sz="8" w:space="0" w:color="000001"/>
              <w:left w:val="nil"/>
              <w:bottom w:val="single" w:sz="4" w:space="0" w:color="auto"/>
              <w:right w:val="single" w:sz="8" w:space="0" w:color="auto"/>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color w:val="000000"/>
                <w:lang w:eastAsia="id-ID"/>
              </w:rPr>
              <w:t>95%</w:t>
            </w:r>
          </w:p>
        </w:tc>
      </w:tr>
      <w:tr w:rsidR="007335FD">
        <w:trPr>
          <w:cantSplit/>
          <w:trHeight w:val="1544"/>
          <w:jc w:val="center"/>
        </w:trPr>
        <w:tc>
          <w:tcPr>
            <w:tcW w:w="710" w:type="dxa"/>
            <w:tcBorders>
              <w:top w:val="single" w:sz="8" w:space="0" w:color="auto"/>
              <w:left w:val="single" w:sz="8" w:space="0" w:color="auto"/>
              <w:right w:val="single" w:sz="8" w:space="0" w:color="auto"/>
            </w:tcBorders>
            <w:shd w:val="clear" w:color="000000" w:fill="FFFFFF"/>
          </w:tcPr>
          <w:p w:rsidR="007335FD" w:rsidRDefault="00815898">
            <w:pPr>
              <w:rPr>
                <w:rFonts w:hAnsiTheme="minorEastAsia" w:cstheme="minorEastAsia"/>
                <w:color w:val="000000"/>
                <w:lang w:eastAsia="id-ID"/>
              </w:rPr>
            </w:pPr>
            <w:r>
              <w:rPr>
                <w:rFonts w:hAnsiTheme="minorEastAsia" w:cstheme="minorEastAsia" w:hint="eastAsia"/>
                <w:color w:val="000000"/>
                <w:lang w:eastAsia="id-ID"/>
              </w:rPr>
              <w:lastRenderedPageBreak/>
              <w:t>2</w:t>
            </w:r>
          </w:p>
        </w:tc>
        <w:tc>
          <w:tcPr>
            <w:tcW w:w="2192" w:type="dxa"/>
            <w:tcBorders>
              <w:top w:val="single" w:sz="8" w:space="0" w:color="auto"/>
              <w:left w:val="nil"/>
              <w:bottom w:val="nil"/>
              <w:right w:val="nil"/>
            </w:tcBorders>
            <w:shd w:val="clear" w:color="000000" w:fill="FFFFFF"/>
          </w:tcPr>
          <w:p w:rsidR="007335FD" w:rsidRDefault="00815898">
            <w:pPr>
              <w:rPr>
                <w:rFonts w:hAnsiTheme="minorEastAsia" w:cstheme="minorEastAsia"/>
                <w:color w:val="000000"/>
                <w:lang w:eastAsia="id-ID"/>
              </w:rPr>
            </w:pPr>
            <w:r>
              <w:rPr>
                <w:rFonts w:hAnsiTheme="minorEastAsia" w:cstheme="minorEastAsia" w:hint="eastAsia"/>
              </w:rPr>
              <w:t>Meningkatnya keamanan, ketentraman, dan ketertiban masyarakat</w:t>
            </w:r>
          </w:p>
        </w:tc>
        <w:tc>
          <w:tcPr>
            <w:tcW w:w="368" w:type="dxa"/>
            <w:tcBorders>
              <w:top w:val="single" w:sz="4" w:space="0" w:color="auto"/>
              <w:left w:val="single" w:sz="8" w:space="0" w:color="auto"/>
              <w:bottom w:val="single" w:sz="8" w:space="0" w:color="auto"/>
              <w:right w:val="nil"/>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hint="eastAsia"/>
                <w:color w:val="000000"/>
                <w:lang w:eastAsia="id-ID"/>
              </w:rPr>
              <w:t>c</w:t>
            </w:r>
          </w:p>
        </w:tc>
        <w:tc>
          <w:tcPr>
            <w:tcW w:w="3818" w:type="dxa"/>
            <w:tcBorders>
              <w:top w:val="single" w:sz="4" w:space="0" w:color="auto"/>
              <w:left w:val="nil"/>
              <w:bottom w:val="single" w:sz="8" w:space="0" w:color="auto"/>
              <w:right w:val="nil"/>
            </w:tcBorders>
            <w:shd w:val="clear" w:color="000000" w:fill="FFFFFF"/>
          </w:tcPr>
          <w:p w:rsidR="007335FD" w:rsidRDefault="00815898">
            <w:pPr>
              <w:pStyle w:val="NoSpacing"/>
              <w:ind w:left="-108"/>
              <w:jc w:val="left"/>
              <w:rPr>
                <w:rFonts w:hAnsiTheme="minorEastAsia" w:cstheme="minorEastAsia"/>
                <w:sz w:val="22"/>
                <w:szCs w:val="22"/>
              </w:rPr>
            </w:pPr>
            <w:r>
              <w:rPr>
                <w:rFonts w:hAnsiTheme="minorEastAsia" w:cstheme="minorEastAsia" w:hint="eastAsia"/>
                <w:sz w:val="22"/>
                <w:szCs w:val="22"/>
              </w:rPr>
              <w:t>Persentase penurunan konflik sosial di Sumbar</w:t>
            </w:r>
          </w:p>
          <w:p w:rsidR="007335FD" w:rsidRDefault="007335FD">
            <w:pPr>
              <w:rPr>
                <w:rFonts w:hAnsiTheme="minorEastAsia" w:cstheme="minorEastAsia"/>
                <w:color w:val="000000"/>
                <w:lang w:val="id-ID" w:eastAsia="id-ID"/>
              </w:rPr>
            </w:pPr>
          </w:p>
        </w:tc>
        <w:tc>
          <w:tcPr>
            <w:tcW w:w="1111" w:type="dxa"/>
            <w:tcBorders>
              <w:top w:val="single" w:sz="4" w:space="0" w:color="auto"/>
              <w:left w:val="single" w:sz="8" w:space="0" w:color="auto"/>
              <w:bottom w:val="single" w:sz="8" w:space="0" w:color="auto"/>
              <w:right w:val="single" w:sz="8" w:space="0" w:color="auto"/>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color w:val="000000"/>
                <w:lang w:eastAsia="id-ID"/>
              </w:rPr>
              <w:t>5</w:t>
            </w:r>
            <w:r>
              <w:rPr>
                <w:rFonts w:hAnsiTheme="minorEastAsia" w:cstheme="minorEastAsia" w:hint="eastAsia"/>
                <w:color w:val="000000"/>
                <w:lang w:eastAsia="id-ID"/>
              </w:rPr>
              <w:t>%</w:t>
            </w:r>
          </w:p>
        </w:tc>
      </w:tr>
      <w:tr w:rsidR="007335FD">
        <w:trPr>
          <w:cantSplit/>
          <w:trHeight w:val="660"/>
          <w:jc w:val="center"/>
        </w:trPr>
        <w:tc>
          <w:tcPr>
            <w:tcW w:w="710" w:type="dxa"/>
            <w:tcBorders>
              <w:left w:val="single" w:sz="8" w:space="0" w:color="auto"/>
              <w:bottom w:val="single" w:sz="4" w:space="0" w:color="auto"/>
              <w:right w:val="single" w:sz="4" w:space="0" w:color="auto"/>
            </w:tcBorders>
            <w:shd w:val="clear" w:color="000000" w:fill="FFFFFF"/>
          </w:tcPr>
          <w:p w:rsidR="007335FD" w:rsidRDefault="007335FD">
            <w:pPr>
              <w:rPr>
                <w:rFonts w:hAnsiTheme="minorEastAsia" w:cstheme="minorEastAsia"/>
                <w:color w:val="000000"/>
                <w:lang w:eastAsia="id-ID"/>
              </w:rPr>
            </w:pPr>
          </w:p>
        </w:tc>
        <w:tc>
          <w:tcPr>
            <w:tcW w:w="2192" w:type="dxa"/>
            <w:tcBorders>
              <w:top w:val="nil"/>
              <w:left w:val="single" w:sz="4" w:space="0" w:color="auto"/>
              <w:bottom w:val="single" w:sz="4" w:space="0" w:color="auto"/>
              <w:right w:val="single" w:sz="4" w:space="0" w:color="auto"/>
            </w:tcBorders>
            <w:shd w:val="clear" w:color="000000" w:fill="FFFFFF"/>
          </w:tcPr>
          <w:p w:rsidR="007335FD" w:rsidRDefault="007335FD">
            <w:pPr>
              <w:rPr>
                <w:rFonts w:hAnsiTheme="minorEastAsia" w:cstheme="minorEastAsia"/>
                <w:color w:val="000000"/>
                <w:lang w:eastAsia="id-ID"/>
              </w:rPr>
            </w:pPr>
          </w:p>
        </w:tc>
        <w:tc>
          <w:tcPr>
            <w:tcW w:w="368" w:type="dxa"/>
            <w:tcBorders>
              <w:top w:val="nil"/>
              <w:left w:val="single" w:sz="4" w:space="0" w:color="auto"/>
              <w:bottom w:val="single" w:sz="4" w:space="0" w:color="auto"/>
              <w:right w:val="nil"/>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hint="eastAsia"/>
                <w:color w:val="000000"/>
                <w:lang w:eastAsia="id-ID"/>
              </w:rPr>
              <w:t>d</w:t>
            </w:r>
          </w:p>
        </w:tc>
        <w:tc>
          <w:tcPr>
            <w:tcW w:w="3818" w:type="dxa"/>
            <w:tcBorders>
              <w:top w:val="nil"/>
              <w:left w:val="nil"/>
              <w:bottom w:val="single" w:sz="4" w:space="0" w:color="auto"/>
              <w:right w:val="nil"/>
            </w:tcBorders>
            <w:shd w:val="clear" w:color="000000" w:fill="FFFFFF"/>
          </w:tcPr>
          <w:p w:rsidR="007335FD" w:rsidRDefault="00815898">
            <w:pPr>
              <w:rPr>
                <w:rFonts w:hAnsiTheme="minorEastAsia" w:cstheme="minorEastAsia"/>
                <w:color w:val="000000"/>
                <w:lang w:eastAsia="id-ID"/>
              </w:rPr>
            </w:pPr>
            <w:r>
              <w:rPr>
                <w:rFonts w:hAnsiTheme="minorEastAsia" w:cstheme="minorEastAsia" w:hint="eastAsia"/>
              </w:rPr>
              <w:t>Persentase penurunan angka kriminalitas di Sumbar</w:t>
            </w:r>
          </w:p>
        </w:tc>
        <w:tc>
          <w:tcPr>
            <w:tcW w:w="1111" w:type="dxa"/>
            <w:tcBorders>
              <w:top w:val="nil"/>
              <w:left w:val="single" w:sz="8" w:space="0" w:color="auto"/>
              <w:bottom w:val="single" w:sz="4" w:space="0" w:color="auto"/>
              <w:right w:val="single" w:sz="8" w:space="0" w:color="auto"/>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color w:val="000000"/>
                <w:lang w:eastAsia="id-ID"/>
              </w:rPr>
              <w:t>5</w:t>
            </w:r>
            <w:r>
              <w:rPr>
                <w:rFonts w:hAnsiTheme="minorEastAsia" w:cstheme="minorEastAsia" w:hint="eastAsia"/>
                <w:color w:val="000000"/>
                <w:lang w:eastAsia="id-ID"/>
              </w:rPr>
              <w:t>%</w:t>
            </w:r>
          </w:p>
        </w:tc>
      </w:tr>
      <w:tr w:rsidR="007335FD">
        <w:trPr>
          <w:cantSplit/>
          <w:trHeight w:val="510"/>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7335FD" w:rsidRDefault="00815898">
            <w:pPr>
              <w:rPr>
                <w:rFonts w:hAnsiTheme="minorEastAsia" w:cstheme="minorEastAsia"/>
                <w:color w:val="000000"/>
                <w:lang w:val="id-ID" w:eastAsia="id-ID"/>
              </w:rPr>
            </w:pPr>
            <w:r>
              <w:rPr>
                <w:rFonts w:hAnsiTheme="minorEastAsia" w:cstheme="minorEastAsia" w:hint="eastAsia"/>
                <w:color w:val="000000"/>
                <w:lang w:eastAsia="id-ID"/>
              </w:rPr>
              <w:t>3</w:t>
            </w:r>
          </w:p>
        </w:tc>
        <w:tc>
          <w:tcPr>
            <w:tcW w:w="2192" w:type="dxa"/>
            <w:tcBorders>
              <w:top w:val="single" w:sz="4" w:space="0" w:color="auto"/>
              <w:left w:val="single" w:sz="4" w:space="0" w:color="auto"/>
              <w:bottom w:val="single" w:sz="4" w:space="0" w:color="auto"/>
              <w:right w:val="single" w:sz="4" w:space="0" w:color="auto"/>
            </w:tcBorders>
            <w:shd w:val="clear" w:color="000000" w:fill="FFFFFF"/>
          </w:tcPr>
          <w:p w:rsidR="007335FD" w:rsidRDefault="00815898">
            <w:pPr>
              <w:rPr>
                <w:rFonts w:hAnsiTheme="minorEastAsia" w:cstheme="minorEastAsia"/>
                <w:color w:val="000000"/>
                <w:lang w:val="id-ID" w:eastAsia="id-ID"/>
              </w:rPr>
            </w:pPr>
            <w:r>
              <w:rPr>
                <w:rFonts w:hAnsiTheme="minorEastAsia" w:cstheme="minorEastAsia" w:hint="eastAsia"/>
              </w:rPr>
              <w:t>Meningkatnya kualitas demokrasi di Sumatera Barat</w:t>
            </w:r>
          </w:p>
        </w:tc>
        <w:tc>
          <w:tcPr>
            <w:tcW w:w="368" w:type="dxa"/>
            <w:tcBorders>
              <w:top w:val="single" w:sz="4" w:space="0" w:color="auto"/>
              <w:left w:val="single" w:sz="4" w:space="0" w:color="auto"/>
              <w:bottom w:val="single" w:sz="4" w:space="0" w:color="auto"/>
              <w:right w:val="nil"/>
            </w:tcBorders>
            <w:shd w:val="clear" w:color="000000" w:fill="FFFFFF"/>
          </w:tcPr>
          <w:p w:rsidR="007335FD" w:rsidRDefault="00815898">
            <w:pPr>
              <w:jc w:val="center"/>
              <w:rPr>
                <w:rFonts w:hAnsiTheme="minorEastAsia" w:cstheme="minorEastAsia"/>
                <w:color w:val="000000"/>
                <w:lang w:val="id-ID" w:eastAsia="id-ID"/>
              </w:rPr>
            </w:pPr>
            <w:r>
              <w:rPr>
                <w:rFonts w:hAnsiTheme="minorEastAsia" w:cstheme="minorEastAsia" w:hint="eastAsia"/>
                <w:color w:val="000000"/>
                <w:lang w:eastAsia="id-ID"/>
              </w:rPr>
              <w:t>e</w:t>
            </w:r>
          </w:p>
        </w:tc>
        <w:tc>
          <w:tcPr>
            <w:tcW w:w="3818" w:type="dxa"/>
            <w:tcBorders>
              <w:top w:val="single" w:sz="4" w:space="0" w:color="auto"/>
              <w:left w:val="nil"/>
              <w:bottom w:val="single" w:sz="4" w:space="0" w:color="auto"/>
              <w:right w:val="single" w:sz="4" w:space="0" w:color="auto"/>
            </w:tcBorders>
            <w:shd w:val="clear" w:color="000000" w:fill="FFFFFF"/>
          </w:tcPr>
          <w:p w:rsidR="007335FD" w:rsidRDefault="00815898">
            <w:pPr>
              <w:rPr>
                <w:rFonts w:hAnsiTheme="minorEastAsia" w:cstheme="minorEastAsia"/>
                <w:color w:val="000000"/>
                <w:lang w:eastAsia="id-ID"/>
              </w:rPr>
            </w:pPr>
            <w:r>
              <w:rPr>
                <w:rFonts w:hAnsiTheme="minorEastAsia" w:cstheme="minorEastAsia" w:hint="eastAsia"/>
              </w:rPr>
              <w:t>Nilai Indeks Dem</w:t>
            </w:r>
            <w:r>
              <w:rPr>
                <w:rFonts w:hAnsiTheme="minorEastAsia" w:cstheme="minorEastAsia"/>
              </w:rPr>
              <w:t>o</w:t>
            </w:r>
            <w:r>
              <w:rPr>
                <w:rFonts w:hAnsiTheme="minorEastAsia" w:cstheme="minorEastAsia" w:hint="eastAsia"/>
              </w:rPr>
              <w:t>krasi Indonesia (IDI) di Sumbar</w:t>
            </w:r>
          </w:p>
        </w:tc>
        <w:tc>
          <w:tcPr>
            <w:tcW w:w="1111" w:type="dxa"/>
            <w:tcBorders>
              <w:top w:val="single" w:sz="4" w:space="0" w:color="auto"/>
              <w:left w:val="single" w:sz="4" w:space="0" w:color="auto"/>
              <w:bottom w:val="single" w:sz="4" w:space="0" w:color="auto"/>
              <w:right w:val="single" w:sz="8" w:space="0" w:color="auto"/>
            </w:tcBorders>
            <w:shd w:val="clear" w:color="000000" w:fill="FFFFFF"/>
          </w:tcPr>
          <w:p w:rsidR="007335FD" w:rsidRDefault="00815898">
            <w:pPr>
              <w:jc w:val="center"/>
              <w:rPr>
                <w:rFonts w:hAnsiTheme="minorEastAsia" w:cstheme="minorEastAsia"/>
                <w:color w:val="000000"/>
                <w:lang w:eastAsia="id-ID"/>
              </w:rPr>
            </w:pPr>
            <w:r>
              <w:rPr>
                <w:rFonts w:hAnsiTheme="minorEastAsia" w:cstheme="minorEastAsia"/>
                <w:color w:val="000000"/>
                <w:lang w:eastAsia="id-ID"/>
              </w:rPr>
              <w:t>70</w:t>
            </w:r>
          </w:p>
        </w:tc>
      </w:tr>
    </w:tbl>
    <w:p w:rsidR="007335FD" w:rsidRDefault="007335FD">
      <w:pPr>
        <w:pStyle w:val="ListParagraph"/>
        <w:ind w:left="0"/>
        <w:rPr>
          <w:rFonts w:ascii="Stencil" w:hAnsi="Stencil"/>
          <w:sz w:val="28"/>
          <w:szCs w:val="28"/>
        </w:rPr>
      </w:pPr>
    </w:p>
    <w:p w:rsidR="007335FD" w:rsidRDefault="00851EC5">
      <w:pPr>
        <w:pStyle w:val="ListParagraph"/>
        <w:tabs>
          <w:tab w:val="center" w:pos="4869"/>
        </w:tabs>
        <w:snapToGrid w:val="0"/>
        <w:spacing w:after="0" w:line="360" w:lineRule="auto"/>
        <w:ind w:left="0"/>
        <w:rPr>
          <w:rFonts w:cs="Tahoma"/>
          <w:color w:val="000000"/>
          <w:sz w:val="24"/>
          <w:szCs w:val="24"/>
        </w:rPr>
      </w:pPr>
      <w:r>
        <w:rPr>
          <w:sz w:val="24"/>
        </w:rPr>
        <w:pict>
          <v:line id="_x0000_s1068" style="position:absolute;flip:y;z-index:271715328;mso-width-relative:page;mso-height-relative:page" from="-1.75pt,21.4pt" to="472.15pt,21.45pt" filled="t" strokecolor="#c00000" strokeweight="4.5pt"/>
        </w:pict>
      </w:r>
      <w:proofErr w:type="gramStart"/>
      <w:r w:rsidR="00815898">
        <w:rPr>
          <w:rFonts w:ascii="Segoe UI Black" w:hAnsi="Segoe UI Black" w:cs="Segoe UI Black"/>
          <w:b/>
          <w:bCs/>
          <w:sz w:val="24"/>
          <w:szCs w:val="24"/>
        </w:rPr>
        <w:t>2.4  Perjanjian</w:t>
      </w:r>
      <w:proofErr w:type="gramEnd"/>
      <w:r w:rsidR="00815898">
        <w:rPr>
          <w:rFonts w:ascii="Segoe UI Black" w:hAnsi="Segoe UI Black" w:cs="Segoe UI Black"/>
          <w:b/>
          <w:bCs/>
          <w:sz w:val="24"/>
          <w:szCs w:val="24"/>
        </w:rPr>
        <w:t xml:space="preserve"> Kinerja Tahun 2018</w:t>
      </w:r>
    </w:p>
    <w:p w:rsidR="007335FD" w:rsidRDefault="007335FD">
      <w:pPr>
        <w:pStyle w:val="NoSpacing"/>
      </w:pPr>
    </w:p>
    <w:p w:rsidR="007335FD" w:rsidRDefault="00815898">
      <w:pPr>
        <w:spacing w:line="360" w:lineRule="auto"/>
        <w:ind w:left="540" w:firstLine="715"/>
        <w:jc w:val="both"/>
        <w:rPr>
          <w:rFonts w:hAnsi="Tahoma" w:cs="Tahoma"/>
          <w:sz w:val="24"/>
          <w:szCs w:val="24"/>
        </w:rPr>
      </w:pPr>
      <w:r>
        <w:rPr>
          <w:rFonts w:hAnsi="Tahoma" w:cs="Tahoma"/>
          <w:sz w:val="24"/>
          <w:szCs w:val="24"/>
        </w:rPr>
        <w:t>Dokumen Penetapan Kinerja sebagaimana diatur dalam Peraturan Menteri Negara Pendayagunaan Aparatur Negara dan Reformasi Birokrasi Nomor 29 Tahun 2010 tentang pedoman penyusunan penetapan kinerja dan pelaporan akuntabilitas kinerja instansi pemerintah, merupakan suatu dokumen pernyataan kinerja/kesepakatan kinerja/perjanjian kinerja antara atasan dan bawahan untuk mewujudkan target kinerja tertentu berdasarkan sumber daya yang dimiliki instansi.</w:t>
      </w:r>
    </w:p>
    <w:p w:rsidR="007335FD" w:rsidRDefault="00815898">
      <w:pPr>
        <w:spacing w:line="360" w:lineRule="auto"/>
        <w:ind w:left="540" w:firstLine="715"/>
        <w:jc w:val="both"/>
        <w:rPr>
          <w:rFonts w:hAnsi="Tahoma" w:cs="Tahoma"/>
          <w:sz w:val="24"/>
          <w:szCs w:val="24"/>
        </w:rPr>
      </w:pPr>
      <w:r>
        <w:rPr>
          <w:sz w:val="24"/>
          <w:szCs w:val="24"/>
        </w:rPr>
        <w:t xml:space="preserve">Perjanjian kinerja (PK) merupakan pernyataan tekad dan janji dalam bentuk kinerja yang </w:t>
      </w:r>
      <w:proofErr w:type="gramStart"/>
      <w:r>
        <w:rPr>
          <w:sz w:val="24"/>
          <w:szCs w:val="24"/>
        </w:rPr>
        <w:t>akan</w:t>
      </w:r>
      <w:proofErr w:type="gramEnd"/>
      <w:r>
        <w:rPr>
          <w:sz w:val="24"/>
          <w:szCs w:val="24"/>
        </w:rPr>
        <w:t xml:space="preserve"> dicapai, antara pimpinan instansi pemerintah/unit kerja yang menerima amanah/tanggung jawab/kinerja dengan pihak yang memberikan amanah/tanggung jawab/kinerja. </w:t>
      </w:r>
      <w:r>
        <w:rPr>
          <w:rFonts w:cs="Aparajita"/>
          <w:sz w:val="24"/>
          <w:szCs w:val="24"/>
        </w:rPr>
        <w:t>Dalam dokumen perjanjian kinerja Badan Kesatuan Bangsa dan Politik Provinsi Sumatera Barat terdapat kesepakatan atau</w:t>
      </w:r>
      <w:r>
        <w:rPr>
          <w:sz w:val="24"/>
          <w:szCs w:val="24"/>
        </w:rPr>
        <w:t xml:space="preserve"> perjanjian kinerja antara Gubernur Sumatera Barat selaku Kepala Daerah dengan Kepala Badan Kesbangpol Provinsi Sumatera Barat untuk melaksanakan program dan kegiatan untuk mencapai Indikator Kinerja Utama (IKU) sesuai dengan sasaran yang termuat dalam Rencana Strategis Badan Kesbangpol Provinsi Sumatera Barat Tahun 2016-2021. </w:t>
      </w:r>
      <w:r>
        <w:rPr>
          <w:rFonts w:hAnsi="Tahoma" w:cs="Tahoma"/>
          <w:sz w:val="24"/>
          <w:szCs w:val="24"/>
        </w:rPr>
        <w:t>Pe</w:t>
      </w:r>
      <w:r>
        <w:rPr>
          <w:rFonts w:hAnsi="Tahoma" w:cs="Tahoma"/>
          <w:sz w:val="24"/>
          <w:szCs w:val="24"/>
          <w:lang w:val="id-ID"/>
        </w:rPr>
        <w:t>rjanjian</w:t>
      </w:r>
      <w:r>
        <w:rPr>
          <w:rFonts w:hAnsi="Tahoma" w:cs="Tahoma"/>
          <w:sz w:val="24"/>
          <w:szCs w:val="24"/>
        </w:rPr>
        <w:t xml:space="preserve"> kinerja Badan Kesatuan Bangsa dan Politik Provinsi Sumatera Barat tahun 2018 dapat dilihat pada tabel berik</w:t>
      </w:r>
      <w:r>
        <w:rPr>
          <w:rFonts w:hAnsi="Tahoma" w:cs="Tahoma"/>
          <w:sz w:val="24"/>
          <w:szCs w:val="24"/>
          <w:lang w:val="id-ID"/>
        </w:rPr>
        <w:t>ut</w:t>
      </w:r>
      <w:r>
        <w:rPr>
          <w:rFonts w:hAnsi="Tahoma" w:cs="Tahoma"/>
          <w:sz w:val="24"/>
          <w:szCs w:val="24"/>
        </w:rPr>
        <w:t>:</w:t>
      </w:r>
    </w:p>
    <w:p w:rsidR="007335FD" w:rsidRDefault="00815898">
      <w:pPr>
        <w:pStyle w:val="NoSpacing"/>
        <w:jc w:val="center"/>
        <w:rPr>
          <w:b/>
          <w:bCs/>
          <w:sz w:val="24"/>
          <w:szCs w:val="24"/>
        </w:rPr>
      </w:pPr>
      <w:r>
        <w:rPr>
          <w:b/>
          <w:bCs/>
          <w:sz w:val="24"/>
          <w:szCs w:val="24"/>
        </w:rPr>
        <w:t>Tabel 2.4</w:t>
      </w:r>
    </w:p>
    <w:p w:rsidR="007335FD" w:rsidRDefault="00815898">
      <w:pPr>
        <w:pStyle w:val="NoSpacing"/>
        <w:jc w:val="center"/>
        <w:rPr>
          <w:b/>
          <w:bCs/>
          <w:sz w:val="24"/>
          <w:szCs w:val="24"/>
        </w:rPr>
      </w:pPr>
      <w:r>
        <w:rPr>
          <w:b/>
          <w:bCs/>
          <w:sz w:val="24"/>
          <w:szCs w:val="24"/>
        </w:rPr>
        <w:t>Perjanjian Kinerja</w:t>
      </w:r>
    </w:p>
    <w:p w:rsidR="007335FD" w:rsidRDefault="00815898">
      <w:pPr>
        <w:pStyle w:val="NoSpacing"/>
        <w:jc w:val="center"/>
        <w:rPr>
          <w:b/>
          <w:bCs/>
          <w:sz w:val="24"/>
          <w:szCs w:val="24"/>
        </w:rPr>
      </w:pPr>
      <w:r>
        <w:rPr>
          <w:b/>
          <w:bCs/>
          <w:sz w:val="24"/>
          <w:szCs w:val="24"/>
        </w:rPr>
        <w:t>Badan Kesatuan Bangsa dan Politik Provinsi Sumatera Barat</w:t>
      </w:r>
    </w:p>
    <w:p w:rsidR="007335FD" w:rsidRDefault="00815898">
      <w:pPr>
        <w:pStyle w:val="NoSpacing"/>
        <w:jc w:val="center"/>
        <w:rPr>
          <w:b/>
          <w:bCs/>
          <w:sz w:val="24"/>
          <w:szCs w:val="24"/>
        </w:rPr>
      </w:pPr>
      <w:r>
        <w:rPr>
          <w:b/>
          <w:bCs/>
          <w:sz w:val="24"/>
          <w:szCs w:val="24"/>
        </w:rPr>
        <w:t>Tahun 2018</w:t>
      </w:r>
    </w:p>
    <w:tbl>
      <w:tblPr>
        <w:tblStyle w:val="TableGrid"/>
        <w:tblW w:w="9245" w:type="dxa"/>
        <w:tblLayout w:type="fixed"/>
        <w:tblLook w:val="04A0" w:firstRow="1" w:lastRow="0" w:firstColumn="1" w:lastColumn="0" w:noHBand="0" w:noVBand="1"/>
      </w:tblPr>
      <w:tblGrid>
        <w:gridCol w:w="670"/>
        <w:gridCol w:w="2699"/>
        <w:gridCol w:w="4607"/>
        <w:gridCol w:w="1269"/>
      </w:tblGrid>
      <w:tr w:rsidR="007335FD">
        <w:tc>
          <w:tcPr>
            <w:tcW w:w="670" w:type="dxa"/>
            <w:shd w:val="clear" w:color="auto" w:fill="C00000"/>
          </w:tcPr>
          <w:p w:rsidR="007335FD" w:rsidRDefault="00815898">
            <w:pPr>
              <w:jc w:val="center"/>
              <w:rPr>
                <w:rFonts w:hAnsiTheme="majorHAnsi" w:cs="Arial"/>
                <w:b/>
                <w:bCs/>
                <w:sz w:val="24"/>
                <w:szCs w:val="24"/>
              </w:rPr>
            </w:pPr>
            <w:r>
              <w:rPr>
                <w:rFonts w:hAnsiTheme="majorHAnsi" w:cs="Arial"/>
                <w:b/>
                <w:bCs/>
                <w:sz w:val="24"/>
                <w:szCs w:val="24"/>
              </w:rPr>
              <w:t>NO</w:t>
            </w:r>
          </w:p>
        </w:tc>
        <w:tc>
          <w:tcPr>
            <w:tcW w:w="2699" w:type="dxa"/>
            <w:shd w:val="clear" w:color="auto" w:fill="C00000"/>
          </w:tcPr>
          <w:p w:rsidR="007335FD" w:rsidRDefault="00815898">
            <w:pPr>
              <w:jc w:val="center"/>
              <w:rPr>
                <w:rFonts w:hAnsiTheme="majorHAnsi" w:cs="Arial"/>
                <w:b/>
                <w:bCs/>
                <w:sz w:val="24"/>
                <w:szCs w:val="24"/>
              </w:rPr>
            </w:pPr>
            <w:r>
              <w:rPr>
                <w:rFonts w:hAnsiTheme="majorHAnsi" w:cs="Arial"/>
                <w:b/>
                <w:bCs/>
                <w:sz w:val="24"/>
                <w:szCs w:val="24"/>
              </w:rPr>
              <w:t>SASARAN STRATEGIS</w:t>
            </w:r>
          </w:p>
        </w:tc>
        <w:tc>
          <w:tcPr>
            <w:tcW w:w="4607" w:type="dxa"/>
            <w:shd w:val="clear" w:color="auto" w:fill="C00000"/>
          </w:tcPr>
          <w:p w:rsidR="007335FD" w:rsidRDefault="00815898">
            <w:pPr>
              <w:jc w:val="center"/>
              <w:rPr>
                <w:rFonts w:hAnsiTheme="majorHAnsi" w:cs="Arial"/>
                <w:b/>
                <w:bCs/>
                <w:sz w:val="24"/>
                <w:szCs w:val="24"/>
              </w:rPr>
            </w:pPr>
            <w:r>
              <w:rPr>
                <w:rFonts w:hAnsiTheme="majorHAnsi" w:cs="Arial"/>
                <w:b/>
                <w:bCs/>
                <w:sz w:val="24"/>
                <w:szCs w:val="24"/>
              </w:rPr>
              <w:t>INDIKATOR KINERJA</w:t>
            </w:r>
          </w:p>
        </w:tc>
        <w:tc>
          <w:tcPr>
            <w:tcW w:w="1269" w:type="dxa"/>
            <w:shd w:val="clear" w:color="auto" w:fill="C00000"/>
          </w:tcPr>
          <w:p w:rsidR="007335FD" w:rsidRDefault="00815898">
            <w:pPr>
              <w:jc w:val="center"/>
              <w:rPr>
                <w:rFonts w:hAnsiTheme="majorHAnsi" w:cs="Arial"/>
                <w:b/>
                <w:bCs/>
                <w:sz w:val="24"/>
                <w:szCs w:val="24"/>
              </w:rPr>
            </w:pPr>
            <w:r>
              <w:rPr>
                <w:rFonts w:hAnsiTheme="majorHAnsi" w:cs="Arial"/>
                <w:b/>
                <w:bCs/>
                <w:sz w:val="24"/>
                <w:szCs w:val="24"/>
              </w:rPr>
              <w:t>TARGET</w:t>
            </w:r>
          </w:p>
        </w:tc>
      </w:tr>
      <w:tr w:rsidR="007335FD">
        <w:tc>
          <w:tcPr>
            <w:tcW w:w="670" w:type="dxa"/>
            <w:shd w:val="clear" w:color="auto" w:fill="C00000"/>
          </w:tcPr>
          <w:p w:rsidR="007335FD" w:rsidRDefault="00815898">
            <w:pPr>
              <w:jc w:val="center"/>
              <w:rPr>
                <w:rFonts w:hAnsiTheme="majorHAnsi" w:cs="Arial"/>
                <w:b/>
                <w:sz w:val="24"/>
                <w:szCs w:val="24"/>
              </w:rPr>
            </w:pPr>
            <w:r>
              <w:rPr>
                <w:rFonts w:hAnsiTheme="majorHAnsi" w:cs="Arial"/>
                <w:b/>
                <w:sz w:val="24"/>
                <w:szCs w:val="24"/>
              </w:rPr>
              <w:lastRenderedPageBreak/>
              <w:t>1</w:t>
            </w:r>
          </w:p>
        </w:tc>
        <w:tc>
          <w:tcPr>
            <w:tcW w:w="2699" w:type="dxa"/>
            <w:shd w:val="clear" w:color="auto" w:fill="C00000"/>
          </w:tcPr>
          <w:p w:rsidR="007335FD" w:rsidRDefault="00815898">
            <w:pPr>
              <w:jc w:val="center"/>
              <w:rPr>
                <w:rFonts w:hAnsiTheme="majorHAnsi" w:cs="Arial"/>
                <w:b/>
                <w:sz w:val="24"/>
                <w:szCs w:val="24"/>
              </w:rPr>
            </w:pPr>
            <w:r>
              <w:rPr>
                <w:rFonts w:hAnsiTheme="majorHAnsi" w:cs="Arial"/>
                <w:b/>
                <w:sz w:val="24"/>
                <w:szCs w:val="24"/>
              </w:rPr>
              <w:t>2</w:t>
            </w:r>
          </w:p>
        </w:tc>
        <w:tc>
          <w:tcPr>
            <w:tcW w:w="4607" w:type="dxa"/>
            <w:shd w:val="clear" w:color="auto" w:fill="C00000"/>
          </w:tcPr>
          <w:p w:rsidR="007335FD" w:rsidRDefault="00815898">
            <w:pPr>
              <w:jc w:val="center"/>
              <w:rPr>
                <w:rFonts w:hAnsiTheme="majorHAnsi" w:cs="Arial"/>
                <w:b/>
                <w:sz w:val="24"/>
                <w:szCs w:val="24"/>
              </w:rPr>
            </w:pPr>
            <w:r>
              <w:rPr>
                <w:rFonts w:hAnsiTheme="majorHAnsi" w:cs="Arial"/>
                <w:b/>
                <w:sz w:val="24"/>
                <w:szCs w:val="24"/>
              </w:rPr>
              <w:t>3</w:t>
            </w:r>
          </w:p>
        </w:tc>
        <w:tc>
          <w:tcPr>
            <w:tcW w:w="1269" w:type="dxa"/>
            <w:shd w:val="clear" w:color="auto" w:fill="C00000"/>
          </w:tcPr>
          <w:p w:rsidR="007335FD" w:rsidRDefault="00815898">
            <w:pPr>
              <w:jc w:val="center"/>
              <w:rPr>
                <w:rFonts w:hAnsiTheme="majorHAnsi" w:cs="Arial"/>
                <w:b/>
                <w:sz w:val="24"/>
                <w:szCs w:val="24"/>
              </w:rPr>
            </w:pPr>
            <w:r>
              <w:rPr>
                <w:rFonts w:hAnsiTheme="majorHAnsi" w:cs="Arial"/>
                <w:b/>
                <w:sz w:val="24"/>
                <w:szCs w:val="24"/>
              </w:rPr>
              <w:t>4</w:t>
            </w:r>
          </w:p>
        </w:tc>
      </w:tr>
      <w:tr w:rsidR="007335FD">
        <w:tc>
          <w:tcPr>
            <w:tcW w:w="670" w:type="dxa"/>
          </w:tcPr>
          <w:p w:rsidR="007335FD" w:rsidRDefault="00815898">
            <w:pPr>
              <w:jc w:val="center"/>
              <w:rPr>
                <w:rFonts w:cs="Arial"/>
                <w:sz w:val="24"/>
                <w:szCs w:val="24"/>
              </w:rPr>
            </w:pPr>
            <w:r>
              <w:rPr>
                <w:rFonts w:cs="Arial"/>
                <w:sz w:val="24"/>
                <w:szCs w:val="24"/>
              </w:rPr>
              <w:t>1</w:t>
            </w:r>
          </w:p>
        </w:tc>
        <w:tc>
          <w:tcPr>
            <w:tcW w:w="2699" w:type="dxa"/>
          </w:tcPr>
          <w:p w:rsidR="007335FD" w:rsidRDefault="00815898">
            <w:pPr>
              <w:rPr>
                <w:rFonts w:cs="Arial"/>
                <w:sz w:val="24"/>
                <w:szCs w:val="24"/>
              </w:rPr>
            </w:pPr>
            <w:r>
              <w:rPr>
                <w:color w:val="000000" w:themeColor="text1"/>
                <w:sz w:val="24"/>
                <w:szCs w:val="24"/>
              </w:rPr>
              <w:t>Meningkatnya tata kelola organisasi</w:t>
            </w:r>
          </w:p>
        </w:tc>
        <w:tc>
          <w:tcPr>
            <w:tcW w:w="4607" w:type="dxa"/>
          </w:tcPr>
          <w:p w:rsidR="007335FD" w:rsidRDefault="00815898">
            <w:pPr>
              <w:pStyle w:val="NoSpacing"/>
              <w:numPr>
                <w:ilvl w:val="0"/>
                <w:numId w:val="19"/>
              </w:numPr>
              <w:ind w:left="315"/>
              <w:jc w:val="left"/>
              <w:rPr>
                <w:color w:val="000000" w:themeColor="text1"/>
                <w:sz w:val="24"/>
                <w:szCs w:val="24"/>
              </w:rPr>
            </w:pPr>
            <w:r>
              <w:rPr>
                <w:color w:val="000000" w:themeColor="text1"/>
                <w:sz w:val="24"/>
                <w:szCs w:val="24"/>
              </w:rPr>
              <w:t>Nilai Evaluasi Akuntabilitas Kinerja</w:t>
            </w:r>
          </w:p>
          <w:p w:rsidR="007335FD" w:rsidRDefault="00815898">
            <w:pPr>
              <w:pStyle w:val="NoSpacing"/>
              <w:numPr>
                <w:ilvl w:val="0"/>
                <w:numId w:val="19"/>
              </w:numPr>
              <w:ind w:left="315"/>
              <w:jc w:val="left"/>
              <w:rPr>
                <w:color w:val="000000" w:themeColor="text1"/>
                <w:sz w:val="24"/>
                <w:szCs w:val="24"/>
              </w:rPr>
            </w:pPr>
            <w:r>
              <w:rPr>
                <w:color w:val="000000" w:themeColor="text1"/>
                <w:sz w:val="24"/>
                <w:szCs w:val="24"/>
              </w:rPr>
              <w:t>Persentase capaian realisasi fisik dan keuangan pelaksanaan program/kegiatan</w:t>
            </w:r>
          </w:p>
          <w:p w:rsidR="007335FD" w:rsidRDefault="007335FD">
            <w:pPr>
              <w:rPr>
                <w:rFonts w:cs="Arial"/>
                <w:sz w:val="24"/>
                <w:szCs w:val="24"/>
              </w:rPr>
            </w:pPr>
          </w:p>
        </w:tc>
        <w:tc>
          <w:tcPr>
            <w:tcW w:w="1269" w:type="dxa"/>
          </w:tcPr>
          <w:p w:rsidR="007335FD" w:rsidRDefault="00815898">
            <w:pPr>
              <w:jc w:val="center"/>
              <w:rPr>
                <w:rFonts w:cs="Arial"/>
                <w:sz w:val="24"/>
                <w:szCs w:val="24"/>
              </w:rPr>
            </w:pPr>
            <w:r>
              <w:rPr>
                <w:rFonts w:cs="Arial"/>
                <w:sz w:val="24"/>
                <w:szCs w:val="24"/>
              </w:rPr>
              <w:t>BB</w:t>
            </w:r>
          </w:p>
          <w:p w:rsidR="007335FD" w:rsidRDefault="007335FD">
            <w:pPr>
              <w:jc w:val="center"/>
              <w:rPr>
                <w:rFonts w:cs="Arial"/>
                <w:sz w:val="24"/>
                <w:szCs w:val="24"/>
              </w:rPr>
            </w:pPr>
          </w:p>
          <w:p w:rsidR="007335FD" w:rsidRDefault="00815898">
            <w:pPr>
              <w:jc w:val="center"/>
              <w:rPr>
                <w:rFonts w:cs="Arial"/>
                <w:sz w:val="24"/>
                <w:szCs w:val="24"/>
              </w:rPr>
            </w:pPr>
            <w:r>
              <w:rPr>
                <w:rFonts w:cs="Arial"/>
                <w:sz w:val="24"/>
                <w:szCs w:val="24"/>
              </w:rPr>
              <w:t>95%</w:t>
            </w:r>
          </w:p>
        </w:tc>
      </w:tr>
      <w:tr w:rsidR="007335FD">
        <w:trPr>
          <w:trHeight w:val="578"/>
        </w:trPr>
        <w:tc>
          <w:tcPr>
            <w:tcW w:w="670" w:type="dxa"/>
          </w:tcPr>
          <w:p w:rsidR="007335FD" w:rsidRDefault="00815898">
            <w:pPr>
              <w:jc w:val="center"/>
              <w:rPr>
                <w:rFonts w:cs="Arial"/>
                <w:sz w:val="24"/>
                <w:szCs w:val="24"/>
              </w:rPr>
            </w:pPr>
            <w:r>
              <w:rPr>
                <w:rFonts w:cs="Arial"/>
                <w:sz w:val="24"/>
                <w:szCs w:val="24"/>
              </w:rPr>
              <w:t>2</w:t>
            </w:r>
          </w:p>
        </w:tc>
        <w:tc>
          <w:tcPr>
            <w:tcW w:w="2699" w:type="dxa"/>
          </w:tcPr>
          <w:p w:rsidR="007335FD" w:rsidRDefault="00815898">
            <w:pPr>
              <w:pStyle w:val="NoSpacing"/>
              <w:jc w:val="left"/>
              <w:rPr>
                <w:color w:val="000000" w:themeColor="text1"/>
                <w:sz w:val="24"/>
                <w:szCs w:val="24"/>
              </w:rPr>
            </w:pPr>
            <w:r>
              <w:rPr>
                <w:color w:val="000000" w:themeColor="text1"/>
                <w:sz w:val="24"/>
                <w:szCs w:val="24"/>
              </w:rPr>
              <w:t>Meningkatnya keamanan, ketentraman dan ketertiban masyarakat</w:t>
            </w:r>
          </w:p>
          <w:p w:rsidR="007335FD" w:rsidRDefault="007335FD">
            <w:pPr>
              <w:rPr>
                <w:rFonts w:cs="Arial"/>
                <w:color w:val="000000" w:themeColor="text1"/>
                <w:sz w:val="24"/>
                <w:szCs w:val="24"/>
              </w:rPr>
            </w:pPr>
          </w:p>
        </w:tc>
        <w:tc>
          <w:tcPr>
            <w:tcW w:w="4607" w:type="dxa"/>
          </w:tcPr>
          <w:p w:rsidR="007335FD" w:rsidRDefault="00815898">
            <w:pPr>
              <w:pStyle w:val="NoSpacing"/>
              <w:numPr>
                <w:ilvl w:val="0"/>
                <w:numId w:val="20"/>
              </w:numPr>
              <w:ind w:left="315"/>
              <w:jc w:val="left"/>
              <w:rPr>
                <w:color w:val="000000" w:themeColor="text1"/>
                <w:sz w:val="24"/>
                <w:szCs w:val="24"/>
              </w:rPr>
            </w:pPr>
            <w:r>
              <w:rPr>
                <w:color w:val="000000" w:themeColor="text1"/>
                <w:sz w:val="24"/>
                <w:szCs w:val="24"/>
              </w:rPr>
              <w:t>Persentase penurunan konflik sosial di Sumbar</w:t>
            </w:r>
          </w:p>
          <w:p w:rsidR="007335FD" w:rsidRDefault="00815898">
            <w:pPr>
              <w:pStyle w:val="NoSpacing"/>
              <w:numPr>
                <w:ilvl w:val="0"/>
                <w:numId w:val="20"/>
              </w:numPr>
              <w:ind w:left="315"/>
              <w:jc w:val="left"/>
              <w:rPr>
                <w:color w:val="000000" w:themeColor="text1"/>
                <w:sz w:val="24"/>
                <w:szCs w:val="24"/>
              </w:rPr>
            </w:pPr>
            <w:r>
              <w:rPr>
                <w:color w:val="000000" w:themeColor="text1"/>
                <w:sz w:val="24"/>
                <w:szCs w:val="24"/>
              </w:rPr>
              <w:t>Persentase penurunan angka kriminalitas di Sumbar</w:t>
            </w:r>
          </w:p>
          <w:p w:rsidR="007335FD" w:rsidRDefault="007335FD">
            <w:pPr>
              <w:rPr>
                <w:rFonts w:cs="Arial"/>
                <w:color w:val="000000" w:themeColor="text1"/>
                <w:sz w:val="24"/>
                <w:szCs w:val="24"/>
              </w:rPr>
            </w:pPr>
          </w:p>
        </w:tc>
        <w:tc>
          <w:tcPr>
            <w:tcW w:w="1269" w:type="dxa"/>
          </w:tcPr>
          <w:p w:rsidR="007335FD" w:rsidRDefault="00815898">
            <w:pPr>
              <w:jc w:val="center"/>
              <w:rPr>
                <w:rFonts w:cs="Arial"/>
                <w:sz w:val="24"/>
                <w:szCs w:val="24"/>
              </w:rPr>
            </w:pPr>
            <w:r>
              <w:rPr>
                <w:rFonts w:cs="Arial"/>
                <w:sz w:val="24"/>
                <w:szCs w:val="24"/>
              </w:rPr>
              <w:t>5%</w:t>
            </w:r>
          </w:p>
          <w:p w:rsidR="007335FD" w:rsidRDefault="007335FD">
            <w:pPr>
              <w:jc w:val="center"/>
              <w:rPr>
                <w:rFonts w:cs="Arial"/>
                <w:sz w:val="24"/>
                <w:szCs w:val="24"/>
              </w:rPr>
            </w:pPr>
          </w:p>
          <w:p w:rsidR="007335FD" w:rsidRDefault="00815898">
            <w:pPr>
              <w:jc w:val="center"/>
              <w:rPr>
                <w:rFonts w:cs="Arial"/>
                <w:sz w:val="24"/>
                <w:szCs w:val="24"/>
              </w:rPr>
            </w:pPr>
            <w:r>
              <w:rPr>
                <w:rFonts w:cs="Arial"/>
                <w:sz w:val="24"/>
                <w:szCs w:val="24"/>
              </w:rPr>
              <w:t>5%</w:t>
            </w:r>
          </w:p>
        </w:tc>
      </w:tr>
      <w:tr w:rsidR="007335FD">
        <w:tc>
          <w:tcPr>
            <w:tcW w:w="670" w:type="dxa"/>
          </w:tcPr>
          <w:p w:rsidR="007335FD" w:rsidRDefault="00815898">
            <w:pPr>
              <w:jc w:val="center"/>
              <w:rPr>
                <w:rFonts w:cs="Arial"/>
                <w:sz w:val="24"/>
                <w:szCs w:val="24"/>
              </w:rPr>
            </w:pPr>
            <w:r>
              <w:rPr>
                <w:rFonts w:cs="Arial"/>
                <w:sz w:val="24"/>
                <w:szCs w:val="24"/>
              </w:rPr>
              <w:t>3</w:t>
            </w:r>
          </w:p>
        </w:tc>
        <w:tc>
          <w:tcPr>
            <w:tcW w:w="2699" w:type="dxa"/>
          </w:tcPr>
          <w:p w:rsidR="007335FD" w:rsidRDefault="00815898">
            <w:pPr>
              <w:pStyle w:val="NoSpacing"/>
              <w:jc w:val="left"/>
              <w:rPr>
                <w:color w:val="000000" w:themeColor="text1"/>
                <w:sz w:val="24"/>
                <w:szCs w:val="24"/>
              </w:rPr>
            </w:pPr>
            <w:r>
              <w:rPr>
                <w:color w:val="000000" w:themeColor="text1"/>
                <w:sz w:val="24"/>
                <w:szCs w:val="24"/>
              </w:rPr>
              <w:t>Meningkatnya kualitas demokrasi di Sumatera Barat</w:t>
            </w:r>
          </w:p>
        </w:tc>
        <w:tc>
          <w:tcPr>
            <w:tcW w:w="4607" w:type="dxa"/>
          </w:tcPr>
          <w:p w:rsidR="007335FD" w:rsidRDefault="00815898">
            <w:pPr>
              <w:pStyle w:val="NoSpacing"/>
              <w:rPr>
                <w:rFonts w:cs="Arial"/>
                <w:color w:val="000000" w:themeColor="text1"/>
                <w:sz w:val="24"/>
                <w:szCs w:val="24"/>
              </w:rPr>
            </w:pPr>
            <w:r>
              <w:rPr>
                <w:color w:val="000000" w:themeColor="text1"/>
                <w:sz w:val="24"/>
                <w:szCs w:val="24"/>
              </w:rPr>
              <w:t>Nilai Indeks Demokrasi Indonesia (IDI)di Sumbar</w:t>
            </w:r>
          </w:p>
        </w:tc>
        <w:tc>
          <w:tcPr>
            <w:tcW w:w="1269" w:type="dxa"/>
          </w:tcPr>
          <w:p w:rsidR="007335FD" w:rsidRDefault="00815898">
            <w:pPr>
              <w:jc w:val="center"/>
              <w:rPr>
                <w:rFonts w:cs="Arial"/>
                <w:sz w:val="24"/>
                <w:szCs w:val="24"/>
              </w:rPr>
            </w:pPr>
            <w:r>
              <w:rPr>
                <w:rFonts w:cs="Arial"/>
                <w:sz w:val="24"/>
                <w:szCs w:val="24"/>
              </w:rPr>
              <w:t>70</w:t>
            </w:r>
          </w:p>
        </w:tc>
      </w:tr>
    </w:tbl>
    <w:p w:rsidR="007335FD" w:rsidRDefault="007335FD">
      <w:pPr>
        <w:pStyle w:val="NoSpacing"/>
        <w:jc w:val="center"/>
        <w:rPr>
          <w:rFonts w:ascii="Berlin Sans FB Demi" w:hAnsi="Berlin Sans FB Demi"/>
          <w:sz w:val="24"/>
          <w:szCs w:val="24"/>
        </w:rPr>
      </w:pPr>
    </w:p>
    <w:tbl>
      <w:tblPr>
        <w:tblStyle w:val="TableGrid"/>
        <w:tblW w:w="9504" w:type="dxa"/>
        <w:tblLayout w:type="fixed"/>
        <w:tblLook w:val="04A0" w:firstRow="1" w:lastRow="0" w:firstColumn="1" w:lastColumn="0" w:noHBand="0" w:noVBand="1"/>
      </w:tblPr>
      <w:tblGrid>
        <w:gridCol w:w="561"/>
        <w:gridCol w:w="1523"/>
        <w:gridCol w:w="2692"/>
        <w:gridCol w:w="2364"/>
        <w:gridCol w:w="2336"/>
        <w:gridCol w:w="28"/>
      </w:tblGrid>
      <w:tr w:rsidR="007335FD">
        <w:tc>
          <w:tcPr>
            <w:tcW w:w="561" w:type="dxa"/>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No</w:t>
            </w:r>
          </w:p>
        </w:tc>
        <w:tc>
          <w:tcPr>
            <w:tcW w:w="4215" w:type="dxa"/>
            <w:gridSpan w:val="2"/>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Program</w:t>
            </w:r>
          </w:p>
        </w:tc>
        <w:tc>
          <w:tcPr>
            <w:tcW w:w="2364" w:type="dxa"/>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Anggaran</w:t>
            </w:r>
          </w:p>
        </w:tc>
        <w:tc>
          <w:tcPr>
            <w:tcW w:w="2364" w:type="dxa"/>
            <w:gridSpan w:val="2"/>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Ket</w:t>
            </w:r>
          </w:p>
        </w:tc>
      </w:tr>
      <w:tr w:rsidR="007335FD">
        <w:tc>
          <w:tcPr>
            <w:tcW w:w="561" w:type="dxa"/>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1</w:t>
            </w:r>
          </w:p>
        </w:tc>
        <w:tc>
          <w:tcPr>
            <w:tcW w:w="4215" w:type="dxa"/>
            <w:gridSpan w:val="2"/>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2</w:t>
            </w:r>
          </w:p>
        </w:tc>
        <w:tc>
          <w:tcPr>
            <w:tcW w:w="2364" w:type="dxa"/>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3</w:t>
            </w:r>
          </w:p>
        </w:tc>
        <w:tc>
          <w:tcPr>
            <w:tcW w:w="2364" w:type="dxa"/>
            <w:gridSpan w:val="2"/>
            <w:shd w:val="clear" w:color="auto" w:fill="C00000"/>
          </w:tcPr>
          <w:p w:rsidR="007335FD" w:rsidRDefault="00815898">
            <w:pPr>
              <w:jc w:val="center"/>
              <w:rPr>
                <w:rFonts w:asciiTheme="majorHAnsi" w:hAnsiTheme="majorHAnsi"/>
                <w:b/>
                <w:sz w:val="24"/>
                <w:szCs w:val="24"/>
              </w:rPr>
            </w:pPr>
            <w:r>
              <w:rPr>
                <w:rFonts w:asciiTheme="majorHAnsi" w:hAnsiTheme="majorHAnsi"/>
                <w:b/>
                <w:sz w:val="24"/>
                <w:szCs w:val="24"/>
              </w:rPr>
              <w:t>4</w:t>
            </w:r>
          </w:p>
        </w:tc>
      </w:tr>
      <w:tr w:rsidR="007335FD">
        <w:tc>
          <w:tcPr>
            <w:tcW w:w="561" w:type="dxa"/>
          </w:tcPr>
          <w:p w:rsidR="007335FD" w:rsidRDefault="00815898">
            <w:pPr>
              <w:jc w:val="center"/>
              <w:rPr>
                <w:sz w:val="24"/>
                <w:szCs w:val="24"/>
              </w:rPr>
            </w:pPr>
            <w:r>
              <w:rPr>
                <w:sz w:val="24"/>
                <w:szCs w:val="24"/>
              </w:rPr>
              <w:t>1</w:t>
            </w:r>
          </w:p>
        </w:tc>
        <w:tc>
          <w:tcPr>
            <w:tcW w:w="4215" w:type="dxa"/>
            <w:gridSpan w:val="2"/>
          </w:tcPr>
          <w:p w:rsidR="007335FD" w:rsidRDefault="00815898">
            <w:pPr>
              <w:rPr>
                <w:sz w:val="24"/>
                <w:szCs w:val="24"/>
              </w:rPr>
            </w:pPr>
            <w:r>
              <w:rPr>
                <w:sz w:val="24"/>
                <w:szCs w:val="24"/>
              </w:rPr>
              <w:t>Program Pelayanan Administrasi Perkantoran</w:t>
            </w:r>
          </w:p>
        </w:tc>
        <w:tc>
          <w:tcPr>
            <w:tcW w:w="2364" w:type="dxa"/>
          </w:tcPr>
          <w:p w:rsidR="007335FD" w:rsidRDefault="00815898">
            <w:pPr>
              <w:jc w:val="right"/>
              <w:rPr>
                <w:sz w:val="24"/>
                <w:szCs w:val="24"/>
              </w:rPr>
            </w:pPr>
            <w:r>
              <w:rPr>
                <w:sz w:val="24"/>
                <w:szCs w:val="24"/>
              </w:rPr>
              <w:t>1.378.290.423</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2</w:t>
            </w:r>
          </w:p>
        </w:tc>
        <w:tc>
          <w:tcPr>
            <w:tcW w:w="4215" w:type="dxa"/>
            <w:gridSpan w:val="2"/>
          </w:tcPr>
          <w:p w:rsidR="007335FD" w:rsidRDefault="00815898">
            <w:pPr>
              <w:rPr>
                <w:sz w:val="24"/>
                <w:szCs w:val="24"/>
              </w:rPr>
            </w:pPr>
            <w:r>
              <w:rPr>
                <w:sz w:val="24"/>
                <w:szCs w:val="24"/>
              </w:rPr>
              <w:t>Program Peningkatan Sarana dan Pra Sarana Aparatur</w:t>
            </w:r>
          </w:p>
        </w:tc>
        <w:tc>
          <w:tcPr>
            <w:tcW w:w="2364" w:type="dxa"/>
          </w:tcPr>
          <w:p w:rsidR="007335FD" w:rsidRDefault="00815898">
            <w:pPr>
              <w:jc w:val="right"/>
              <w:rPr>
                <w:sz w:val="24"/>
                <w:szCs w:val="24"/>
              </w:rPr>
            </w:pPr>
            <w:r>
              <w:rPr>
                <w:sz w:val="24"/>
                <w:szCs w:val="24"/>
              </w:rPr>
              <w:t xml:space="preserve">    1.046.763.397</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3</w:t>
            </w:r>
          </w:p>
        </w:tc>
        <w:tc>
          <w:tcPr>
            <w:tcW w:w="4215" w:type="dxa"/>
            <w:gridSpan w:val="2"/>
          </w:tcPr>
          <w:p w:rsidR="007335FD" w:rsidRDefault="00815898">
            <w:pPr>
              <w:rPr>
                <w:sz w:val="24"/>
                <w:szCs w:val="24"/>
              </w:rPr>
            </w:pPr>
            <w:r>
              <w:rPr>
                <w:sz w:val="24"/>
                <w:szCs w:val="24"/>
              </w:rPr>
              <w:t>Program Peningkatan Disiplin Aparatur</w:t>
            </w:r>
          </w:p>
        </w:tc>
        <w:tc>
          <w:tcPr>
            <w:tcW w:w="2364" w:type="dxa"/>
          </w:tcPr>
          <w:p w:rsidR="007335FD" w:rsidRDefault="00815898">
            <w:pPr>
              <w:jc w:val="right"/>
              <w:rPr>
                <w:sz w:val="24"/>
                <w:szCs w:val="24"/>
              </w:rPr>
            </w:pPr>
            <w:r>
              <w:rPr>
                <w:sz w:val="24"/>
                <w:szCs w:val="24"/>
              </w:rPr>
              <w:t xml:space="preserve">      35.000.000</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4</w:t>
            </w:r>
          </w:p>
        </w:tc>
        <w:tc>
          <w:tcPr>
            <w:tcW w:w="4215" w:type="dxa"/>
            <w:gridSpan w:val="2"/>
          </w:tcPr>
          <w:p w:rsidR="007335FD" w:rsidRDefault="00815898">
            <w:pPr>
              <w:rPr>
                <w:sz w:val="24"/>
                <w:szCs w:val="24"/>
              </w:rPr>
            </w:pPr>
            <w:r>
              <w:rPr>
                <w:sz w:val="24"/>
                <w:szCs w:val="24"/>
              </w:rPr>
              <w:t>Program Peningkatan Kapasitas Sumber Daya Aparatur</w:t>
            </w:r>
          </w:p>
        </w:tc>
        <w:tc>
          <w:tcPr>
            <w:tcW w:w="2364" w:type="dxa"/>
          </w:tcPr>
          <w:p w:rsidR="007335FD" w:rsidRDefault="00815898">
            <w:pPr>
              <w:jc w:val="right"/>
              <w:rPr>
                <w:sz w:val="24"/>
                <w:szCs w:val="24"/>
              </w:rPr>
            </w:pPr>
            <w:r>
              <w:rPr>
                <w:sz w:val="24"/>
                <w:szCs w:val="24"/>
              </w:rPr>
              <w:t xml:space="preserve">      72.208.000</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5</w:t>
            </w:r>
          </w:p>
        </w:tc>
        <w:tc>
          <w:tcPr>
            <w:tcW w:w="4215" w:type="dxa"/>
            <w:gridSpan w:val="2"/>
          </w:tcPr>
          <w:p w:rsidR="007335FD" w:rsidRDefault="00815898">
            <w:pPr>
              <w:rPr>
                <w:sz w:val="24"/>
                <w:szCs w:val="24"/>
              </w:rPr>
            </w:pPr>
            <w:r>
              <w:rPr>
                <w:sz w:val="24"/>
                <w:szCs w:val="24"/>
              </w:rPr>
              <w:t>Program Peningkatan Pengembangan Sistem Pelaporan Capaian Kinerja dan Keuangan</w:t>
            </w:r>
          </w:p>
        </w:tc>
        <w:tc>
          <w:tcPr>
            <w:tcW w:w="2364" w:type="dxa"/>
          </w:tcPr>
          <w:p w:rsidR="007335FD" w:rsidRDefault="00815898">
            <w:pPr>
              <w:jc w:val="right"/>
              <w:rPr>
                <w:sz w:val="24"/>
                <w:szCs w:val="24"/>
              </w:rPr>
            </w:pPr>
            <w:r>
              <w:rPr>
                <w:sz w:val="24"/>
                <w:szCs w:val="24"/>
              </w:rPr>
              <w:t xml:space="preserve">    227.636.000</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6</w:t>
            </w:r>
          </w:p>
        </w:tc>
        <w:tc>
          <w:tcPr>
            <w:tcW w:w="4215" w:type="dxa"/>
            <w:gridSpan w:val="2"/>
          </w:tcPr>
          <w:p w:rsidR="007335FD" w:rsidRDefault="00815898">
            <w:pPr>
              <w:rPr>
                <w:sz w:val="24"/>
                <w:szCs w:val="24"/>
              </w:rPr>
            </w:pPr>
            <w:r>
              <w:rPr>
                <w:sz w:val="24"/>
                <w:szCs w:val="24"/>
              </w:rPr>
              <w:t>Program Peningkatan Pemberantasan Penyakit Masyarakat (PEKAT)</w:t>
            </w:r>
          </w:p>
        </w:tc>
        <w:tc>
          <w:tcPr>
            <w:tcW w:w="2364" w:type="dxa"/>
          </w:tcPr>
          <w:p w:rsidR="007335FD" w:rsidRDefault="00815898">
            <w:pPr>
              <w:jc w:val="right"/>
              <w:rPr>
                <w:sz w:val="24"/>
                <w:szCs w:val="24"/>
              </w:rPr>
            </w:pPr>
            <w:r>
              <w:rPr>
                <w:sz w:val="24"/>
                <w:szCs w:val="24"/>
              </w:rPr>
              <w:t xml:space="preserve">    523.883.500</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7</w:t>
            </w:r>
          </w:p>
        </w:tc>
        <w:tc>
          <w:tcPr>
            <w:tcW w:w="4215" w:type="dxa"/>
            <w:gridSpan w:val="2"/>
          </w:tcPr>
          <w:p w:rsidR="007335FD" w:rsidRDefault="00815898">
            <w:pPr>
              <w:rPr>
                <w:sz w:val="24"/>
                <w:szCs w:val="24"/>
              </w:rPr>
            </w:pPr>
            <w:r>
              <w:rPr>
                <w:sz w:val="24"/>
                <w:szCs w:val="24"/>
              </w:rPr>
              <w:t xml:space="preserve">Program  Kemitraan Pengembangan Wawasan Kebangsaan </w:t>
            </w:r>
          </w:p>
        </w:tc>
        <w:tc>
          <w:tcPr>
            <w:tcW w:w="2364" w:type="dxa"/>
          </w:tcPr>
          <w:p w:rsidR="007335FD" w:rsidRDefault="00815898">
            <w:pPr>
              <w:jc w:val="right"/>
              <w:rPr>
                <w:sz w:val="24"/>
                <w:szCs w:val="24"/>
              </w:rPr>
            </w:pPr>
            <w:r>
              <w:rPr>
                <w:sz w:val="24"/>
                <w:szCs w:val="24"/>
              </w:rPr>
              <w:t>1.347.927.432</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8</w:t>
            </w:r>
          </w:p>
        </w:tc>
        <w:tc>
          <w:tcPr>
            <w:tcW w:w="4215" w:type="dxa"/>
            <w:gridSpan w:val="2"/>
          </w:tcPr>
          <w:p w:rsidR="007335FD" w:rsidRDefault="00815898">
            <w:pPr>
              <w:rPr>
                <w:sz w:val="24"/>
                <w:szCs w:val="24"/>
              </w:rPr>
            </w:pPr>
            <w:r>
              <w:rPr>
                <w:sz w:val="24"/>
                <w:szCs w:val="24"/>
              </w:rPr>
              <w:t xml:space="preserve">Program Pendidikan Politik Masyarakat </w:t>
            </w:r>
          </w:p>
        </w:tc>
        <w:tc>
          <w:tcPr>
            <w:tcW w:w="2364" w:type="dxa"/>
          </w:tcPr>
          <w:p w:rsidR="007335FD" w:rsidRDefault="00815898">
            <w:pPr>
              <w:jc w:val="right"/>
              <w:rPr>
                <w:sz w:val="24"/>
                <w:szCs w:val="24"/>
              </w:rPr>
            </w:pPr>
            <w:r>
              <w:rPr>
                <w:sz w:val="24"/>
                <w:szCs w:val="24"/>
              </w:rPr>
              <w:t xml:space="preserve">   1.810.904.881</w:t>
            </w:r>
          </w:p>
        </w:tc>
        <w:tc>
          <w:tcPr>
            <w:tcW w:w="2364" w:type="dxa"/>
            <w:gridSpan w:val="2"/>
          </w:tcPr>
          <w:p w:rsidR="007335FD" w:rsidRDefault="00815898">
            <w:pPr>
              <w:jc w:val="center"/>
              <w:rPr>
                <w:sz w:val="24"/>
                <w:szCs w:val="24"/>
              </w:rPr>
            </w:pPr>
            <w:r>
              <w:rPr>
                <w:sz w:val="24"/>
                <w:szCs w:val="24"/>
              </w:rPr>
              <w:t>APBD</w:t>
            </w:r>
          </w:p>
        </w:tc>
      </w:tr>
      <w:tr w:rsidR="007335FD">
        <w:tc>
          <w:tcPr>
            <w:tcW w:w="561" w:type="dxa"/>
          </w:tcPr>
          <w:p w:rsidR="007335FD" w:rsidRDefault="00815898">
            <w:pPr>
              <w:jc w:val="center"/>
              <w:rPr>
                <w:sz w:val="24"/>
                <w:szCs w:val="24"/>
              </w:rPr>
            </w:pPr>
            <w:r>
              <w:rPr>
                <w:sz w:val="24"/>
                <w:szCs w:val="24"/>
              </w:rPr>
              <w:t>9</w:t>
            </w:r>
          </w:p>
        </w:tc>
        <w:tc>
          <w:tcPr>
            <w:tcW w:w="4215" w:type="dxa"/>
            <w:gridSpan w:val="2"/>
          </w:tcPr>
          <w:p w:rsidR="007335FD" w:rsidRDefault="00815898">
            <w:pPr>
              <w:rPr>
                <w:sz w:val="24"/>
                <w:szCs w:val="24"/>
              </w:rPr>
            </w:pPr>
            <w:r>
              <w:rPr>
                <w:sz w:val="24"/>
                <w:szCs w:val="24"/>
              </w:rPr>
              <w:t>Program Peningkatan Keamanan dan Kenyamanan Lingkungan</w:t>
            </w:r>
          </w:p>
        </w:tc>
        <w:tc>
          <w:tcPr>
            <w:tcW w:w="2364" w:type="dxa"/>
          </w:tcPr>
          <w:p w:rsidR="007335FD" w:rsidRDefault="00815898">
            <w:pPr>
              <w:jc w:val="right"/>
              <w:rPr>
                <w:sz w:val="24"/>
                <w:szCs w:val="24"/>
              </w:rPr>
            </w:pPr>
            <w:r>
              <w:rPr>
                <w:sz w:val="24"/>
                <w:szCs w:val="24"/>
              </w:rPr>
              <w:t xml:space="preserve">     1.705.410.460</w:t>
            </w:r>
          </w:p>
        </w:tc>
        <w:tc>
          <w:tcPr>
            <w:tcW w:w="2364" w:type="dxa"/>
            <w:gridSpan w:val="2"/>
          </w:tcPr>
          <w:p w:rsidR="007335FD" w:rsidRDefault="00815898">
            <w:pPr>
              <w:jc w:val="center"/>
              <w:rPr>
                <w:sz w:val="24"/>
                <w:szCs w:val="24"/>
              </w:rPr>
            </w:pPr>
            <w:r>
              <w:rPr>
                <w:sz w:val="24"/>
                <w:szCs w:val="24"/>
              </w:rPr>
              <w:t>APBD</w:t>
            </w:r>
          </w:p>
        </w:tc>
      </w:tr>
      <w:tr w:rsidR="007335FD">
        <w:tc>
          <w:tcPr>
            <w:tcW w:w="4776" w:type="dxa"/>
            <w:gridSpan w:val="3"/>
          </w:tcPr>
          <w:p w:rsidR="007335FD" w:rsidRDefault="00815898">
            <w:pPr>
              <w:jc w:val="center"/>
              <w:rPr>
                <w:b/>
                <w:sz w:val="24"/>
                <w:szCs w:val="24"/>
              </w:rPr>
            </w:pPr>
            <w:r>
              <w:rPr>
                <w:b/>
                <w:sz w:val="24"/>
                <w:szCs w:val="24"/>
              </w:rPr>
              <w:t>JUMLAH</w:t>
            </w:r>
          </w:p>
        </w:tc>
        <w:tc>
          <w:tcPr>
            <w:tcW w:w="2364" w:type="dxa"/>
          </w:tcPr>
          <w:p w:rsidR="007335FD" w:rsidRDefault="00815898">
            <w:pPr>
              <w:jc w:val="right"/>
              <w:rPr>
                <w:b/>
                <w:sz w:val="24"/>
                <w:szCs w:val="24"/>
              </w:rPr>
            </w:pPr>
            <w:r>
              <w:rPr>
                <w:b/>
                <w:sz w:val="24"/>
                <w:szCs w:val="24"/>
              </w:rPr>
              <w:t>8.148.024.093</w:t>
            </w:r>
          </w:p>
        </w:tc>
        <w:tc>
          <w:tcPr>
            <w:tcW w:w="2364" w:type="dxa"/>
            <w:gridSpan w:val="2"/>
          </w:tcPr>
          <w:p w:rsidR="007335FD" w:rsidRDefault="007335FD">
            <w:pPr>
              <w:rPr>
                <w:b/>
                <w:sz w:val="24"/>
                <w:szCs w:val="24"/>
              </w:rPr>
            </w:pPr>
          </w:p>
        </w:tc>
      </w:tr>
      <w:tr w:rsidR="007335FD">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00000"/>
        </w:tblPrEx>
        <w:trPr>
          <w:gridAfter w:val="1"/>
          <w:wAfter w:w="28" w:type="dxa"/>
          <w:trHeight w:val="545"/>
        </w:trPr>
        <w:tc>
          <w:tcPr>
            <w:tcW w:w="2084" w:type="dxa"/>
            <w:gridSpan w:val="2"/>
            <w:shd w:val="clear" w:color="auto" w:fill="C00000"/>
          </w:tcPr>
          <w:p w:rsidR="007335FD" w:rsidRDefault="00815898">
            <w:pPr>
              <w:rPr>
                <w:rFonts w:ascii="Bernard MT Condensed" w:hAnsi="Bernard MT Condensed"/>
                <w:color w:val="FFFFFF" w:themeColor="background1"/>
                <w:sz w:val="52"/>
                <w:szCs w:val="52"/>
              </w:rPr>
            </w:pPr>
            <w:r>
              <w:rPr>
                <w:rFonts w:ascii="Segoe UI Black" w:hAnsi="Segoe UI Black" w:cs="Segoe UI Black"/>
                <w:color w:val="FFFFFF" w:themeColor="background1"/>
                <w:sz w:val="52"/>
                <w:szCs w:val="52"/>
              </w:rPr>
              <w:t>BAB III</w:t>
            </w:r>
          </w:p>
        </w:tc>
        <w:tc>
          <w:tcPr>
            <w:tcW w:w="7392" w:type="dxa"/>
            <w:gridSpan w:val="3"/>
            <w:shd w:val="clear" w:color="auto" w:fill="C00000"/>
          </w:tcPr>
          <w:p w:rsidR="007335FD" w:rsidRDefault="00815898">
            <w:pPr>
              <w:jc w:val="center"/>
              <w:rPr>
                <w:rFonts w:ascii="Bernard MT Condensed" w:hAnsi="Bernard MT Condensed"/>
                <w:color w:val="FFFFFF" w:themeColor="background1"/>
                <w:sz w:val="52"/>
                <w:szCs w:val="52"/>
              </w:rPr>
            </w:pPr>
            <w:r>
              <w:rPr>
                <w:rFonts w:ascii="Segoe UI Black" w:hAnsi="Segoe UI Black" w:cs="Segoe UI Black"/>
                <w:color w:val="FFFFFF" w:themeColor="background1"/>
                <w:sz w:val="52"/>
                <w:szCs w:val="52"/>
              </w:rPr>
              <w:t>AKUNTABILITAS KINERJA</w:t>
            </w:r>
          </w:p>
        </w:tc>
      </w:tr>
    </w:tbl>
    <w:p w:rsidR="007335FD" w:rsidRDefault="007335FD">
      <w:pPr>
        <w:autoSpaceDE w:val="0"/>
        <w:autoSpaceDN w:val="0"/>
        <w:adjustRightInd w:val="0"/>
        <w:spacing w:after="0" w:line="360" w:lineRule="auto"/>
        <w:ind w:firstLine="720"/>
        <w:jc w:val="both"/>
        <w:rPr>
          <w:rFonts w:ascii="Aparajita" w:hAnsi="Aparajita" w:cs="Aparajita"/>
          <w:sz w:val="24"/>
          <w:szCs w:val="24"/>
        </w:rPr>
      </w:pP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rPr>
          <w:rFonts w:ascii="Stencil" w:hAnsi="Stencil"/>
          <w:sz w:val="24"/>
          <w:szCs w:val="24"/>
        </w:rPr>
        <w:pict>
          <v:shape id="_x0000_s1037" type="#_x0000_t32" style="position:absolute;left:0;text-align:left;margin-left:-.05pt;margin-top:23.65pt;width:462.7pt;height:0;z-index:254163968;mso-width-relative:page;mso-height-relative:page" strokecolor="#c00000" strokeweight="4.5pt"/>
        </w:pict>
      </w:r>
      <w:proofErr w:type="gramStart"/>
      <w:r w:rsidR="00815898">
        <w:rPr>
          <w:rFonts w:ascii="Segoe UI Black" w:hAnsi="Segoe UI Black" w:cs="Segoe UI Black"/>
          <w:b/>
          <w:bCs/>
          <w:sz w:val="24"/>
          <w:szCs w:val="24"/>
        </w:rPr>
        <w:t>3.1  Metodologi</w:t>
      </w:r>
      <w:proofErr w:type="gramEnd"/>
      <w:r w:rsidR="00815898">
        <w:rPr>
          <w:rFonts w:ascii="Segoe UI Black" w:hAnsi="Segoe UI Black" w:cs="Segoe UI Black"/>
          <w:b/>
          <w:bCs/>
          <w:sz w:val="24"/>
          <w:szCs w:val="24"/>
        </w:rPr>
        <w:t xml:space="preserve"> Pengukuran Capaian Kinerja</w:t>
      </w:r>
    </w:p>
    <w:p w:rsidR="007335FD" w:rsidRDefault="007335FD">
      <w:pPr>
        <w:autoSpaceDE w:val="0"/>
        <w:autoSpaceDN w:val="0"/>
        <w:adjustRightInd w:val="0"/>
        <w:spacing w:after="0" w:line="360" w:lineRule="auto"/>
        <w:ind w:leftChars="200" w:left="440" w:firstLine="440"/>
        <w:jc w:val="both"/>
        <w:rPr>
          <w:rFonts w:hAnsi="Tahoma" w:cs="Tahoma"/>
          <w:sz w:val="24"/>
          <w:szCs w:val="24"/>
          <w:lang w:val="sv-SE"/>
        </w:rPr>
      </w:pPr>
    </w:p>
    <w:p w:rsidR="007335FD" w:rsidRDefault="00815898">
      <w:pPr>
        <w:autoSpaceDE w:val="0"/>
        <w:autoSpaceDN w:val="0"/>
        <w:adjustRightInd w:val="0"/>
        <w:spacing w:after="0" w:line="360" w:lineRule="auto"/>
        <w:ind w:leftChars="200" w:left="440" w:firstLine="660"/>
        <w:jc w:val="both"/>
        <w:rPr>
          <w:rFonts w:hAnsi="Tahoma" w:cs="Tahoma"/>
          <w:sz w:val="24"/>
          <w:szCs w:val="24"/>
        </w:rPr>
      </w:pPr>
      <w:r>
        <w:rPr>
          <w:rFonts w:hAnsi="Tahoma" w:cs="Tahoma"/>
          <w:sz w:val="24"/>
          <w:szCs w:val="24"/>
          <w:lang w:val="sv-SE"/>
        </w:rPr>
        <w:t>Pengukuran Kinerja adalah pengukuran hasil atau tingkat keberhasilan individu secara keseluruhan selama periode tertentu di</w:t>
      </w:r>
      <w:r>
        <w:rPr>
          <w:rFonts w:hAnsi="Tahoma" w:cs="Tahoma"/>
          <w:sz w:val="24"/>
          <w:szCs w:val="24"/>
        </w:rPr>
        <w:t xml:space="preserve"> </w:t>
      </w:r>
      <w:r>
        <w:rPr>
          <w:rFonts w:hAnsi="Tahoma" w:cs="Tahoma"/>
          <w:sz w:val="24"/>
          <w:szCs w:val="24"/>
          <w:lang w:val="sv-SE"/>
        </w:rPr>
        <w:t xml:space="preserve">dalam melaksanakan tugas dibandingkan </w:t>
      </w:r>
      <w:r>
        <w:rPr>
          <w:rFonts w:hAnsi="Tahoma" w:cs="Tahoma"/>
          <w:sz w:val="24"/>
          <w:szCs w:val="24"/>
          <w:lang w:val="sv-SE"/>
        </w:rPr>
        <w:lastRenderedPageBreak/>
        <w:t>dengan berbagai kemungkinan, seperti standar hasil kerja, target atau sasaran atau kriteria yang telah ditentukan terlebih dahulu dan telah disepakati bersama</w:t>
      </w:r>
      <w:r>
        <w:rPr>
          <w:rFonts w:hAnsi="Tahoma" w:cs="Tahoma"/>
          <w:sz w:val="24"/>
          <w:szCs w:val="24"/>
        </w:rPr>
        <w:t>.</w:t>
      </w:r>
    </w:p>
    <w:p w:rsidR="007335FD" w:rsidRDefault="00815898">
      <w:pPr>
        <w:autoSpaceDE w:val="0"/>
        <w:autoSpaceDN w:val="0"/>
        <w:adjustRightInd w:val="0"/>
        <w:spacing w:after="0" w:line="360" w:lineRule="auto"/>
        <w:ind w:leftChars="200" w:left="440" w:firstLine="660"/>
        <w:jc w:val="both"/>
        <w:rPr>
          <w:rFonts w:cs="Arial"/>
          <w:sz w:val="24"/>
          <w:szCs w:val="24"/>
        </w:rPr>
      </w:pPr>
      <w:proofErr w:type="gramStart"/>
      <w:r>
        <w:rPr>
          <w:rFonts w:cs="Aparajita"/>
          <w:sz w:val="24"/>
          <w:szCs w:val="24"/>
        </w:rPr>
        <w:t>Pada laporan kinerja ini, pengukuran kinerja yang dilakukan adalah pengukuran capaian target kinerja kelompok indikator kinerja sasaran strategis yang ditetapkan dalam dokumen Perjanjian Kinerja Badan Kesatuan Bangsa dan Politik Provinsi Sumatera Barat Tahun 2018.</w:t>
      </w:r>
      <w:proofErr w:type="gramEnd"/>
      <w:r>
        <w:rPr>
          <w:rFonts w:cs="Aparajita"/>
          <w:sz w:val="24"/>
          <w:szCs w:val="24"/>
        </w:rPr>
        <w:t xml:space="preserve"> Metode pengukuran yang digunakan adalah metode pengukuran sederhana dengan membandingkan target kinerja dengan realisasi kinerja kelompok indikator kinerja sasaran strategis. </w:t>
      </w:r>
      <w:proofErr w:type="gramStart"/>
      <w:r>
        <w:rPr>
          <w:rFonts w:cs="Aparajita"/>
          <w:sz w:val="24"/>
          <w:szCs w:val="24"/>
        </w:rPr>
        <w:t>Hasil pengukuran dan capaian indikator kinerja dimaksud, digunakan untuk menilai keberhasilan/kegagalan pencapaian sasaran strategis dalam rangka mewujudkan visi dan misi Badan Kesatuan Bangsa dan Politik Provinsi Sumatera Barat serta analisis penyebab keberhasilan/kegagalan capaian target indikator kinerja yang ditetapkan.</w:t>
      </w:r>
      <w:proofErr w:type="gramEnd"/>
      <w:r>
        <w:rPr>
          <w:rFonts w:cs="Aparajita"/>
          <w:sz w:val="24"/>
          <w:szCs w:val="24"/>
        </w:rPr>
        <w:t xml:space="preserve"> </w:t>
      </w:r>
      <w:proofErr w:type="gramStart"/>
      <w:r>
        <w:rPr>
          <w:rFonts w:cs="Aparajita"/>
          <w:sz w:val="24"/>
          <w:szCs w:val="24"/>
        </w:rPr>
        <w:t>Keberhasilan dan kegagalan pencapaian sasaran strategis diukur dengan capaian kelompok indikator kinerja sasaran strategis yang berkenaan.</w:t>
      </w:r>
      <w:proofErr w:type="gramEnd"/>
      <w:r>
        <w:rPr>
          <w:rFonts w:cs="Aparajita"/>
          <w:sz w:val="24"/>
          <w:szCs w:val="24"/>
        </w:rPr>
        <w:t xml:space="preserve"> </w:t>
      </w:r>
    </w:p>
    <w:p w:rsidR="007335FD" w:rsidRDefault="00815898">
      <w:pPr>
        <w:autoSpaceDE w:val="0"/>
        <w:autoSpaceDN w:val="0"/>
        <w:adjustRightInd w:val="0"/>
        <w:spacing w:after="0" w:line="360" w:lineRule="auto"/>
        <w:ind w:leftChars="200" w:left="440" w:firstLineChars="275" w:firstLine="660"/>
        <w:jc w:val="both"/>
        <w:rPr>
          <w:rFonts w:cs="Aparajita"/>
          <w:sz w:val="24"/>
          <w:szCs w:val="24"/>
        </w:rPr>
      </w:pPr>
      <w:r>
        <w:rPr>
          <w:rFonts w:cs="Aparajita"/>
          <w:sz w:val="24"/>
          <w:szCs w:val="24"/>
        </w:rPr>
        <w:t xml:space="preserve">Ada dua jenis pengukuran capaian kinerja yang dapat digunakan yaitu sebagai </w:t>
      </w:r>
      <w:proofErr w:type="gramStart"/>
      <w:r>
        <w:rPr>
          <w:rFonts w:cs="Aparajita"/>
          <w:sz w:val="24"/>
          <w:szCs w:val="24"/>
        </w:rPr>
        <w:t>berikut :</w:t>
      </w:r>
      <w:proofErr w:type="gramEnd"/>
    </w:p>
    <w:p w:rsidR="007335FD" w:rsidRDefault="00815898">
      <w:pPr>
        <w:pStyle w:val="ListParagraph"/>
        <w:numPr>
          <w:ilvl w:val="0"/>
          <w:numId w:val="21"/>
        </w:numPr>
        <w:tabs>
          <w:tab w:val="clear" w:pos="425"/>
        </w:tabs>
        <w:autoSpaceDE w:val="0"/>
        <w:autoSpaceDN w:val="0"/>
        <w:adjustRightInd w:val="0"/>
        <w:spacing w:after="0" w:line="360" w:lineRule="auto"/>
        <w:ind w:left="865"/>
        <w:jc w:val="both"/>
        <w:rPr>
          <w:rFonts w:cs="Aparajita"/>
          <w:sz w:val="24"/>
          <w:szCs w:val="24"/>
        </w:rPr>
      </w:pPr>
      <w:r>
        <w:rPr>
          <w:rFonts w:cs="Aparajita"/>
          <w:sz w:val="24"/>
          <w:szCs w:val="24"/>
        </w:rPr>
        <w:t xml:space="preserve">  Apabila semakin tinggi realisasi menunjukkan semakin tingginya kinerja atau semakin rendah realisasi menunjukkan semakin rendahnya kinerja, digunakan rumus:</w:t>
      </w:r>
    </w:p>
    <w:p w:rsidR="007335FD" w:rsidRDefault="00851EC5">
      <w:pPr>
        <w:autoSpaceDE w:val="0"/>
        <w:autoSpaceDN w:val="0"/>
        <w:adjustRightInd w:val="0"/>
        <w:spacing w:after="0" w:line="360" w:lineRule="auto"/>
        <w:rPr>
          <w:rFonts w:ascii="Aparajita" w:hAnsi="Aparajita" w:cs="Aparajita"/>
          <w:sz w:val="24"/>
          <w:szCs w:val="24"/>
        </w:rPr>
      </w:pPr>
      <w:r>
        <w:rPr>
          <w:rFonts w:ascii="Aparajita" w:hAnsi="Aparajita" w:cs="Aparajita"/>
          <w:sz w:val="24"/>
          <w:szCs w:val="24"/>
        </w:rPr>
        <w:pict>
          <v:rect id="Rectangle 38" o:spid="_x0000_s1049" style="position:absolute;margin-left:80.05pt;margin-top:14.05pt;width:279pt;height:50.25pt;z-index:251682816;mso-width-relative:page;mso-height-relative:page" filled="f" strokecolor="#c00000" strokeweight="3pt">
            <v:shadow on="t" color="#632523" opacity=".5" offset="1pt"/>
            <v:textbox>
              <w:txbxContent>
                <w:p w:rsidR="00815898" w:rsidRDefault="00815898">
                  <w:pPr>
                    <w:jc w:val="center"/>
                  </w:pPr>
                  <m:oMathPara>
                    <m:oMath>
                      <m:r>
                        <w:rPr>
                          <w:rFonts w:ascii="Cambria Math" w:hAnsi="Cambria Math"/>
                          <w:sz w:val="24"/>
                          <w:szCs w:val="24"/>
                        </w:rPr>
                        <m:t>Capaian</m:t>
                      </m:r>
                      <m:r>
                        <w:rPr>
                          <w:rFonts w:ascii="Cambria Math" w:hAnsi="Berlin Sans FB"/>
                          <w:sz w:val="24"/>
                          <w:szCs w:val="24"/>
                        </w:rPr>
                        <m:t xml:space="preserve"> </m:t>
                      </m:r>
                      <m:r>
                        <w:rPr>
                          <w:rFonts w:ascii="Cambria Math" w:hAnsi="Cambria Math"/>
                          <w:sz w:val="24"/>
                          <w:szCs w:val="24"/>
                        </w:rPr>
                        <m:t>indikator</m:t>
                      </m:r>
                      <m:r>
                        <w:rPr>
                          <w:rFonts w:ascii="Cambria Math" w:hAnsi="Berlin Sans FB"/>
                          <w:sz w:val="24"/>
                          <w:szCs w:val="24"/>
                        </w:rPr>
                        <m:t xml:space="preserve"> </m:t>
                      </m:r>
                      <m:r>
                        <w:rPr>
                          <w:rFonts w:ascii="Cambria Math" w:hAnsi="Cambria Math"/>
                          <w:sz w:val="24"/>
                          <w:szCs w:val="24"/>
                        </w:rPr>
                        <m:t>kinerja</m:t>
                      </m:r>
                      <m:r>
                        <w:rPr>
                          <w:rFonts w:ascii="Cambria Math" w:hAnsi="Berlin Sans FB"/>
                          <w:sz w:val="24"/>
                          <w:szCs w:val="24"/>
                        </w:rPr>
                        <m:t xml:space="preserve">= </m:t>
                      </m:r>
                      <m:f>
                        <m:fPr>
                          <m:ctrlPr>
                            <w:rPr>
                              <w:rFonts w:ascii="Cambria Math" w:hAnsi="Berlin Sans FB"/>
                              <w:i/>
                              <w:sz w:val="24"/>
                              <w:szCs w:val="24"/>
                            </w:rPr>
                          </m:ctrlPr>
                        </m:fPr>
                        <m:num>
                          <m:r>
                            <w:rPr>
                              <w:rFonts w:ascii="Cambria Math" w:hAnsi="Cambria Math"/>
                              <w:sz w:val="24"/>
                              <w:szCs w:val="24"/>
                            </w:rPr>
                            <m:t>Realisasi</m:t>
                          </m:r>
                        </m:num>
                        <m:den>
                          <m:r>
                            <w:rPr>
                              <w:rFonts w:ascii="Cambria Math" w:hAnsi="Cambria Math"/>
                              <w:sz w:val="24"/>
                              <w:szCs w:val="24"/>
                            </w:rPr>
                            <m:t>Target</m:t>
                          </m:r>
                        </m:den>
                      </m:f>
                      <m:r>
                        <w:rPr>
                          <w:rFonts w:ascii="Cambria Math" w:hAnsi="Cambria Math"/>
                          <w:sz w:val="24"/>
                          <w:szCs w:val="24"/>
                        </w:rPr>
                        <m:t>x</m:t>
                      </m:r>
                      <m:r>
                        <w:rPr>
                          <w:rFonts w:ascii="Cambria Math" w:hAnsi="Berlin Sans FB"/>
                          <w:sz w:val="24"/>
                          <w:szCs w:val="24"/>
                        </w:rPr>
                        <m:t xml:space="preserve"> 100%</m:t>
                      </m:r>
                    </m:oMath>
                  </m:oMathPara>
                </w:p>
                <w:p w:rsidR="00815898" w:rsidRDefault="00815898">
                  <w:pPr>
                    <w:jc w:val="center"/>
                    <w:rPr>
                      <w:rFonts w:ascii="Berlin Sans FB" w:hAnsi="Berlin Sans FB"/>
                      <w:sz w:val="24"/>
                      <w:szCs w:val="24"/>
                    </w:rPr>
                  </w:pPr>
                </w:p>
              </w:txbxContent>
            </v:textbox>
          </v:rect>
        </w:pict>
      </w:r>
    </w:p>
    <w:p w:rsidR="007335FD" w:rsidRDefault="007335FD">
      <w:pPr>
        <w:autoSpaceDE w:val="0"/>
        <w:autoSpaceDN w:val="0"/>
        <w:adjustRightInd w:val="0"/>
        <w:spacing w:after="0" w:line="360" w:lineRule="auto"/>
        <w:rPr>
          <w:rFonts w:ascii="Aparajita" w:hAnsi="Aparajita" w:cs="Aparajita"/>
          <w:sz w:val="24"/>
          <w:szCs w:val="24"/>
        </w:rPr>
      </w:pPr>
    </w:p>
    <w:p w:rsidR="007335FD" w:rsidRDefault="007335FD">
      <w:pPr>
        <w:pStyle w:val="ListParagraph"/>
        <w:autoSpaceDE w:val="0"/>
        <w:autoSpaceDN w:val="0"/>
        <w:adjustRightInd w:val="0"/>
        <w:spacing w:after="0" w:line="360" w:lineRule="auto"/>
        <w:ind w:left="440"/>
        <w:jc w:val="both"/>
        <w:rPr>
          <w:rFonts w:cs="Aparajita"/>
          <w:sz w:val="24"/>
          <w:szCs w:val="24"/>
        </w:rPr>
      </w:pPr>
    </w:p>
    <w:p w:rsidR="007335FD" w:rsidRDefault="00815898">
      <w:pPr>
        <w:pStyle w:val="ListParagraph"/>
        <w:numPr>
          <w:ilvl w:val="0"/>
          <w:numId w:val="21"/>
        </w:numPr>
        <w:tabs>
          <w:tab w:val="clear" w:pos="425"/>
        </w:tabs>
        <w:autoSpaceDE w:val="0"/>
        <w:autoSpaceDN w:val="0"/>
        <w:adjustRightInd w:val="0"/>
        <w:spacing w:after="0" w:line="360" w:lineRule="auto"/>
        <w:ind w:left="865"/>
        <w:jc w:val="both"/>
        <w:rPr>
          <w:rFonts w:cs="Aparajita"/>
          <w:sz w:val="24"/>
          <w:szCs w:val="24"/>
        </w:rPr>
      </w:pPr>
      <w:r>
        <w:rPr>
          <w:rFonts w:cs="Aparajita"/>
          <w:sz w:val="24"/>
          <w:szCs w:val="24"/>
        </w:rPr>
        <w:t xml:space="preserve">  Jika semakin tinggi realisasi menunjukkan pencapaian kinerja yang semakin rendah, atau sebaliknya jika realisasi makin rendah pencapaian kinerja semakin baik, maka digunakan rumus sebagai berikut :</w:t>
      </w:r>
    </w:p>
    <w:p w:rsidR="007335FD" w:rsidRDefault="007335FD">
      <w:pPr>
        <w:pStyle w:val="ListParagraph"/>
        <w:autoSpaceDE w:val="0"/>
        <w:autoSpaceDN w:val="0"/>
        <w:adjustRightInd w:val="0"/>
        <w:spacing w:after="0" w:line="360" w:lineRule="auto"/>
        <w:ind w:left="0"/>
        <w:jc w:val="both"/>
        <w:rPr>
          <w:rFonts w:cs="Aparajita"/>
          <w:sz w:val="24"/>
          <w:szCs w:val="24"/>
        </w:rPr>
      </w:pPr>
    </w:p>
    <w:p w:rsidR="007335FD" w:rsidRDefault="00851EC5">
      <w:pPr>
        <w:autoSpaceDE w:val="0"/>
        <w:autoSpaceDN w:val="0"/>
        <w:adjustRightInd w:val="0"/>
        <w:spacing w:after="0" w:line="240" w:lineRule="auto"/>
        <w:rPr>
          <w:rFonts w:ascii="Aparajita" w:hAnsi="Aparajita" w:cs="Aparajita"/>
          <w:sz w:val="24"/>
          <w:szCs w:val="24"/>
        </w:rPr>
      </w:pPr>
      <w:r>
        <w:rPr>
          <w:rFonts w:ascii="Aparajita" w:hAnsi="Aparajita" w:cs="Aparajita"/>
          <w:sz w:val="24"/>
          <w:szCs w:val="24"/>
        </w:rPr>
        <w:pict>
          <v:rect id="Rectangle 40" o:spid="_x0000_s1050" style="position:absolute;margin-left:47.25pt;margin-top:5.45pt;width:354.75pt;height:41.1pt;z-index:251683840;mso-width-relative:page;mso-height-relative:page" filled="f" strokecolor="#c00000" strokeweight="3pt">
            <v:shadow on="t" color="#632523" opacity=".5" offset="1pt"/>
            <v:textbox>
              <w:txbxContent>
                <w:p w:rsidR="00815898" w:rsidRDefault="00815898">
                  <w:pPr>
                    <w:jc w:val="center"/>
                  </w:pPr>
                  <m:oMathPara>
                    <m:oMath>
                      <m:r>
                        <w:rPr>
                          <w:rFonts w:ascii="Cambria Math" w:hAnsi="Cambria Math"/>
                          <w:sz w:val="24"/>
                          <w:szCs w:val="24"/>
                        </w:rPr>
                        <m:t>Capaian</m:t>
                      </m:r>
                      <m:r>
                        <w:rPr>
                          <w:rFonts w:ascii="Cambria Math" w:hAnsi="Berlin Sans FB"/>
                          <w:sz w:val="24"/>
                          <w:szCs w:val="24"/>
                        </w:rPr>
                        <m:t xml:space="preserve"> </m:t>
                      </m:r>
                      <m:r>
                        <w:rPr>
                          <w:rFonts w:ascii="Cambria Math" w:hAnsi="Cambria Math"/>
                          <w:sz w:val="24"/>
                          <w:szCs w:val="24"/>
                        </w:rPr>
                        <m:t>indikator</m:t>
                      </m:r>
                      <m:r>
                        <w:rPr>
                          <w:rFonts w:ascii="Cambria Math" w:hAnsi="Berlin Sans FB"/>
                          <w:sz w:val="24"/>
                          <w:szCs w:val="24"/>
                        </w:rPr>
                        <m:t xml:space="preserve"> </m:t>
                      </m:r>
                      <m:r>
                        <w:rPr>
                          <w:rFonts w:ascii="Cambria Math" w:hAnsi="Cambria Math"/>
                          <w:sz w:val="24"/>
                          <w:szCs w:val="24"/>
                        </w:rPr>
                        <m:t>kinerja</m:t>
                      </m:r>
                      <m:r>
                        <w:rPr>
                          <w:rFonts w:ascii="Cambria Math" w:hAnsi="Berlin Sans FB"/>
                          <w:sz w:val="24"/>
                          <w:szCs w:val="24"/>
                        </w:rPr>
                        <m:t xml:space="preserve">= </m:t>
                      </m:r>
                      <m:f>
                        <m:fPr>
                          <m:ctrlPr>
                            <w:rPr>
                              <w:rFonts w:ascii="Cambria Math" w:hAnsi="Berlin Sans FB"/>
                              <w:i/>
                              <w:sz w:val="24"/>
                              <w:szCs w:val="24"/>
                            </w:rPr>
                          </m:ctrlPr>
                        </m:fPr>
                        <m:num>
                          <m:r>
                            <w:rPr>
                              <w:rFonts w:ascii="Cambria Math" w:hAnsi="Cambria Math"/>
                              <w:sz w:val="24"/>
                              <w:szCs w:val="24"/>
                            </w:rPr>
                            <m:t>(2xTarget)-Realisasi</m:t>
                          </m:r>
                        </m:num>
                        <m:den>
                          <m:r>
                            <w:rPr>
                              <w:rFonts w:ascii="Cambria Math" w:hAnsi="Berlin Sans FB"/>
                              <w:sz w:val="24"/>
                              <w:szCs w:val="24"/>
                            </w:rPr>
                            <m:t>Target</m:t>
                          </m:r>
                        </m:den>
                      </m:f>
                      <m:r>
                        <w:rPr>
                          <w:rFonts w:ascii="Cambria Math" w:hAnsi="Cambria Math"/>
                          <w:sz w:val="24"/>
                          <w:szCs w:val="24"/>
                        </w:rPr>
                        <m:t>x</m:t>
                      </m:r>
                      <m:r>
                        <w:rPr>
                          <w:rFonts w:ascii="Cambria Math" w:hAnsi="Berlin Sans FB"/>
                          <w:sz w:val="24"/>
                          <w:szCs w:val="24"/>
                        </w:rPr>
                        <m:t xml:space="preserve"> 100%</m:t>
                      </m:r>
                    </m:oMath>
                  </m:oMathPara>
                </w:p>
                <w:p w:rsidR="00815898" w:rsidRDefault="00815898">
                  <w:pPr>
                    <w:jc w:val="center"/>
                    <w:rPr>
                      <w:rFonts w:ascii="Berlin Sans FB" w:hAnsi="Berlin Sans FB"/>
                      <w:sz w:val="24"/>
                      <w:szCs w:val="24"/>
                    </w:rPr>
                  </w:pPr>
                </w:p>
              </w:txbxContent>
            </v:textbox>
          </v:rect>
        </w:pict>
      </w:r>
    </w:p>
    <w:p w:rsidR="007335FD" w:rsidRDefault="007335FD">
      <w:pPr>
        <w:autoSpaceDE w:val="0"/>
        <w:autoSpaceDN w:val="0"/>
        <w:adjustRightInd w:val="0"/>
        <w:spacing w:after="0" w:line="240" w:lineRule="auto"/>
        <w:rPr>
          <w:rFonts w:ascii="Arial" w:hAnsi="Arial" w:cs="Arial"/>
          <w:sz w:val="24"/>
          <w:szCs w:val="24"/>
        </w:rPr>
      </w:pPr>
    </w:p>
    <w:p w:rsidR="007335FD" w:rsidRDefault="007335FD">
      <w:pPr>
        <w:autoSpaceDE w:val="0"/>
        <w:autoSpaceDN w:val="0"/>
        <w:adjustRightInd w:val="0"/>
        <w:spacing w:after="0" w:line="240" w:lineRule="auto"/>
        <w:rPr>
          <w:rFonts w:ascii="Arial" w:hAnsi="Arial" w:cs="Arial"/>
          <w:sz w:val="24"/>
          <w:szCs w:val="24"/>
        </w:rPr>
      </w:pPr>
    </w:p>
    <w:p w:rsidR="007335FD" w:rsidRDefault="007335FD">
      <w:pPr>
        <w:autoSpaceDE w:val="0"/>
        <w:autoSpaceDN w:val="0"/>
        <w:adjustRightInd w:val="0"/>
        <w:spacing w:after="0" w:line="240" w:lineRule="auto"/>
        <w:rPr>
          <w:rFonts w:ascii="Arial" w:hAnsi="Arial" w:cs="Arial"/>
          <w:sz w:val="24"/>
          <w:szCs w:val="24"/>
        </w:rPr>
      </w:pPr>
    </w:p>
    <w:p w:rsidR="007335FD" w:rsidRDefault="00815898">
      <w:pPr>
        <w:autoSpaceDE w:val="0"/>
        <w:autoSpaceDN w:val="0"/>
        <w:adjustRightInd w:val="0"/>
        <w:spacing w:after="0" w:line="360" w:lineRule="auto"/>
        <w:ind w:leftChars="200" w:left="440" w:firstLineChars="300" w:firstLine="720"/>
        <w:jc w:val="both"/>
        <w:rPr>
          <w:rFonts w:cs="Aparajita"/>
          <w:sz w:val="24"/>
          <w:szCs w:val="24"/>
        </w:rPr>
      </w:pPr>
      <w:r>
        <w:rPr>
          <w:rFonts w:cs="Aparajita"/>
          <w:sz w:val="24"/>
          <w:szCs w:val="24"/>
        </w:rPr>
        <w:t>Untuk penilaian keberhasilan/kegagalan pencapaian sasaran strategis dan keberhasilan/kegagalan capaian indikator kinerja, ditetapkan kategori penilaian keberhasilan/kegagalan sebagaimana tercantum pada tabel 3.1</w:t>
      </w:r>
    </w:p>
    <w:p w:rsidR="007335FD" w:rsidRDefault="00815898">
      <w:pPr>
        <w:pStyle w:val="NoSpacing"/>
        <w:jc w:val="center"/>
        <w:rPr>
          <w:rFonts w:hAnsi="Berlin Sans FB Demi"/>
          <w:b/>
          <w:bCs/>
          <w:sz w:val="24"/>
          <w:szCs w:val="24"/>
        </w:rPr>
      </w:pPr>
      <w:r>
        <w:rPr>
          <w:rFonts w:hAnsi="Berlin Sans FB Demi"/>
          <w:b/>
          <w:bCs/>
          <w:sz w:val="24"/>
          <w:szCs w:val="24"/>
        </w:rPr>
        <w:t>Tabel 3.1</w:t>
      </w:r>
    </w:p>
    <w:p w:rsidR="007335FD" w:rsidRDefault="00815898">
      <w:pPr>
        <w:pStyle w:val="NoSpacing"/>
        <w:jc w:val="center"/>
        <w:rPr>
          <w:rFonts w:hAnsi="Berlin Sans FB Demi"/>
          <w:b/>
          <w:bCs/>
          <w:sz w:val="24"/>
          <w:szCs w:val="24"/>
        </w:rPr>
      </w:pPr>
      <w:r>
        <w:rPr>
          <w:rFonts w:hAnsi="Berlin Sans FB Demi"/>
          <w:b/>
          <w:bCs/>
          <w:sz w:val="24"/>
          <w:szCs w:val="24"/>
        </w:rPr>
        <w:lastRenderedPageBreak/>
        <w:t>Klasifikasi Penilaian dan Kategori Penilaian Keberhasilan/Kegagalan</w:t>
      </w:r>
    </w:p>
    <w:p w:rsidR="007335FD" w:rsidRDefault="00815898">
      <w:pPr>
        <w:pStyle w:val="NoSpacing"/>
        <w:jc w:val="center"/>
        <w:rPr>
          <w:rFonts w:hAnsi="Berlin Sans FB Demi"/>
          <w:b/>
          <w:bCs/>
          <w:sz w:val="24"/>
          <w:szCs w:val="24"/>
        </w:rPr>
      </w:pPr>
      <w:r>
        <w:rPr>
          <w:rFonts w:hAnsi="Berlin Sans FB Demi"/>
          <w:b/>
          <w:bCs/>
          <w:sz w:val="24"/>
          <w:szCs w:val="24"/>
        </w:rPr>
        <w:t>Pencapaian Sasaran Strategis dan Capaian Indikator Kinerja Tahun 2018</w:t>
      </w:r>
    </w:p>
    <w:p w:rsidR="007335FD" w:rsidRDefault="007335FD">
      <w:pPr>
        <w:pStyle w:val="NoSpacing"/>
        <w:jc w:val="center"/>
        <w:rPr>
          <w:rFonts w:hAnsi="Berlin Sans FB Demi"/>
          <w:b/>
          <w:bCs/>
          <w:sz w:val="24"/>
          <w:szCs w:val="24"/>
        </w:rPr>
      </w:pPr>
    </w:p>
    <w:tbl>
      <w:tblPr>
        <w:tblStyle w:val="TableGrid"/>
        <w:tblW w:w="5580" w:type="dxa"/>
        <w:tblInd w:w="1731" w:type="dxa"/>
        <w:tblLayout w:type="fixed"/>
        <w:tblLook w:val="04A0" w:firstRow="1" w:lastRow="0" w:firstColumn="1" w:lastColumn="0" w:noHBand="0" w:noVBand="1"/>
      </w:tblPr>
      <w:tblGrid>
        <w:gridCol w:w="928"/>
        <w:gridCol w:w="2399"/>
        <w:gridCol w:w="2253"/>
      </w:tblGrid>
      <w:tr w:rsidR="007335FD">
        <w:tc>
          <w:tcPr>
            <w:tcW w:w="928"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No</w:t>
            </w:r>
          </w:p>
        </w:tc>
        <w:tc>
          <w:tcPr>
            <w:tcW w:w="2399"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Klasifikasi Penilaian</w:t>
            </w:r>
          </w:p>
        </w:tc>
        <w:tc>
          <w:tcPr>
            <w:tcW w:w="2253"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Predikat</w:t>
            </w:r>
          </w:p>
        </w:tc>
      </w:tr>
      <w:tr w:rsidR="007335FD">
        <w:tc>
          <w:tcPr>
            <w:tcW w:w="928"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1</w:t>
            </w:r>
          </w:p>
        </w:tc>
        <w:tc>
          <w:tcPr>
            <w:tcW w:w="2399"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85% - 100%</w:t>
            </w:r>
          </w:p>
        </w:tc>
        <w:tc>
          <w:tcPr>
            <w:tcW w:w="2253"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Sangat Baik</w:t>
            </w:r>
          </w:p>
        </w:tc>
      </w:tr>
      <w:tr w:rsidR="007335FD">
        <w:tc>
          <w:tcPr>
            <w:tcW w:w="928"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2</w:t>
            </w:r>
          </w:p>
        </w:tc>
        <w:tc>
          <w:tcPr>
            <w:tcW w:w="2399"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69% -  84%</w:t>
            </w:r>
          </w:p>
        </w:tc>
        <w:tc>
          <w:tcPr>
            <w:tcW w:w="2253"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Baik</w:t>
            </w:r>
          </w:p>
        </w:tc>
      </w:tr>
      <w:tr w:rsidR="007335FD">
        <w:tc>
          <w:tcPr>
            <w:tcW w:w="928"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3</w:t>
            </w:r>
          </w:p>
        </w:tc>
        <w:tc>
          <w:tcPr>
            <w:tcW w:w="2399"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53% - 68%</w:t>
            </w:r>
          </w:p>
        </w:tc>
        <w:tc>
          <w:tcPr>
            <w:tcW w:w="2253"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Cukup</w:t>
            </w:r>
          </w:p>
        </w:tc>
      </w:tr>
      <w:tr w:rsidR="007335FD">
        <w:tc>
          <w:tcPr>
            <w:tcW w:w="928"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4</w:t>
            </w:r>
          </w:p>
        </w:tc>
        <w:tc>
          <w:tcPr>
            <w:tcW w:w="2399"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&lt; 53%</w:t>
            </w:r>
          </w:p>
        </w:tc>
        <w:tc>
          <w:tcPr>
            <w:tcW w:w="2253"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Gagal</w:t>
            </w:r>
          </w:p>
        </w:tc>
      </w:tr>
    </w:tbl>
    <w:p w:rsidR="007335FD" w:rsidRDefault="007335FD">
      <w:pPr>
        <w:autoSpaceDE w:val="0"/>
        <w:autoSpaceDN w:val="0"/>
        <w:adjustRightInd w:val="0"/>
        <w:spacing w:after="0" w:line="360" w:lineRule="auto"/>
        <w:ind w:left="720"/>
        <w:jc w:val="both"/>
        <w:rPr>
          <w:rFonts w:ascii="Aparajita" w:hAnsi="Aparajita" w:cs="Aparajita"/>
          <w:sz w:val="24"/>
          <w:szCs w:val="24"/>
        </w:rPr>
      </w:pP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pict>
          <v:shape id="_x0000_s1041" type="#_x0000_t32" style="position:absolute;left:0;text-align:left;margin-left:1.65pt;margin-top:22.05pt;width:462.7pt;height:0;z-index:256670720;mso-width-relative:page;mso-height-relative:page" strokecolor="#c00000" strokeweight="4.5pt"/>
        </w:pict>
      </w:r>
      <w:r w:rsidR="00815898">
        <w:rPr>
          <w:rFonts w:ascii="Segoe UI Black" w:hAnsi="Segoe UI Black" w:cs="Segoe UI Black"/>
          <w:b/>
          <w:bCs/>
          <w:sz w:val="24"/>
          <w:szCs w:val="24"/>
        </w:rPr>
        <w:t>3.2 Hasil Pengukuran Kinerja</w:t>
      </w:r>
    </w:p>
    <w:p w:rsidR="007335FD" w:rsidRDefault="007335FD">
      <w:pPr>
        <w:pStyle w:val="NoSpacing"/>
      </w:pPr>
    </w:p>
    <w:p w:rsidR="007335FD" w:rsidRDefault="00815898">
      <w:pPr>
        <w:autoSpaceDE w:val="0"/>
        <w:autoSpaceDN w:val="0"/>
        <w:adjustRightInd w:val="0"/>
        <w:spacing w:after="0" w:line="360" w:lineRule="auto"/>
        <w:ind w:leftChars="200" w:left="440" w:firstLineChars="275" w:firstLine="660"/>
        <w:jc w:val="both"/>
        <w:rPr>
          <w:rFonts w:cs="Aparajita"/>
          <w:sz w:val="24"/>
          <w:szCs w:val="24"/>
        </w:rPr>
      </w:pPr>
      <w:r>
        <w:rPr>
          <w:rFonts w:cs="Aparajita"/>
          <w:sz w:val="24"/>
          <w:szCs w:val="24"/>
        </w:rPr>
        <w:t xml:space="preserve">Hasil pengukuran capaian target indikator kinerja 3 (tiga) sasaran strategis yang ditetapkan dalam dokumen Perjanjian Kinerja Badan Kesatuan Bangsa dan Politik Provinsi Sumatera Barat Tahun 2018 dapat dilihat pada tabel 3.2. </w:t>
      </w:r>
    </w:p>
    <w:p w:rsidR="007335FD" w:rsidRDefault="00815898">
      <w:pPr>
        <w:pStyle w:val="NoSpacing"/>
        <w:jc w:val="center"/>
        <w:rPr>
          <w:rFonts w:hAnsi="Berlin Sans FB Demi"/>
          <w:b/>
          <w:bCs/>
          <w:sz w:val="24"/>
          <w:szCs w:val="24"/>
        </w:rPr>
      </w:pPr>
      <w:r>
        <w:rPr>
          <w:rFonts w:hAnsi="Berlin Sans FB Demi"/>
          <w:b/>
          <w:bCs/>
          <w:sz w:val="24"/>
          <w:szCs w:val="24"/>
        </w:rPr>
        <w:t>Tabel 3.2</w:t>
      </w:r>
    </w:p>
    <w:p w:rsidR="007335FD" w:rsidRDefault="00815898">
      <w:pPr>
        <w:pStyle w:val="NoSpacing"/>
        <w:jc w:val="center"/>
        <w:rPr>
          <w:rFonts w:hAnsi="Berlin Sans FB Demi"/>
          <w:b/>
          <w:bCs/>
          <w:sz w:val="24"/>
          <w:szCs w:val="24"/>
        </w:rPr>
      </w:pPr>
      <w:r>
        <w:rPr>
          <w:rFonts w:hAnsi="Berlin Sans FB Demi"/>
          <w:b/>
          <w:bCs/>
          <w:sz w:val="24"/>
          <w:szCs w:val="24"/>
        </w:rPr>
        <w:t>Hasil Pengukuran Kinerja Badan Kesbangpol Provinsi Sumatera Barat Tahun 2018</w:t>
      </w:r>
    </w:p>
    <w:tbl>
      <w:tblPr>
        <w:tblStyle w:val="TableGrid"/>
        <w:tblpPr w:leftFromText="180" w:rightFromText="180" w:vertAnchor="text" w:horzAnchor="page" w:tblpX="1430" w:tblpY="322"/>
        <w:tblOverlap w:val="never"/>
        <w:tblW w:w="9553" w:type="dxa"/>
        <w:tblLayout w:type="fixed"/>
        <w:tblLook w:val="04A0" w:firstRow="1" w:lastRow="0" w:firstColumn="1" w:lastColumn="0" w:noHBand="0" w:noVBand="1"/>
      </w:tblPr>
      <w:tblGrid>
        <w:gridCol w:w="645"/>
        <w:gridCol w:w="2190"/>
        <w:gridCol w:w="2910"/>
        <w:gridCol w:w="1312"/>
        <w:gridCol w:w="1452"/>
        <w:gridCol w:w="1044"/>
      </w:tblGrid>
      <w:tr w:rsidR="007335FD">
        <w:tc>
          <w:tcPr>
            <w:tcW w:w="645"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No</w:t>
            </w:r>
          </w:p>
        </w:tc>
        <w:tc>
          <w:tcPr>
            <w:tcW w:w="2190"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Sasaran Strategis</w:t>
            </w:r>
          </w:p>
        </w:tc>
        <w:tc>
          <w:tcPr>
            <w:tcW w:w="2910" w:type="dxa"/>
            <w:tcBorders>
              <w:bottom w:val="single" w:sz="4" w:space="0" w:color="auto"/>
            </w:tcBorders>
            <w:shd w:val="clear" w:color="auto" w:fill="C00000"/>
          </w:tcPr>
          <w:p w:rsidR="007335FD" w:rsidRDefault="00815898">
            <w:pPr>
              <w:tabs>
                <w:tab w:val="left" w:pos="615"/>
                <w:tab w:val="center" w:pos="1018"/>
              </w:tabs>
              <w:autoSpaceDE w:val="0"/>
              <w:autoSpaceDN w:val="0"/>
              <w:adjustRightInd w:val="0"/>
              <w:spacing w:line="360" w:lineRule="auto"/>
              <w:jc w:val="center"/>
              <w:rPr>
                <w:rFonts w:cs="Aparajita"/>
                <w:b/>
              </w:rPr>
            </w:pPr>
            <w:r>
              <w:rPr>
                <w:rFonts w:cs="Aparajita"/>
                <w:b/>
              </w:rPr>
              <w:t>Indikator Kinerja</w:t>
            </w:r>
          </w:p>
        </w:tc>
        <w:tc>
          <w:tcPr>
            <w:tcW w:w="1312" w:type="dxa"/>
            <w:tcBorders>
              <w:bottom w:val="single" w:sz="4" w:space="0" w:color="auto"/>
            </w:tcBorders>
            <w:shd w:val="clear" w:color="auto" w:fill="C00000"/>
          </w:tcPr>
          <w:p w:rsidR="007335FD" w:rsidRDefault="00815898">
            <w:pPr>
              <w:tabs>
                <w:tab w:val="left" w:pos="615"/>
                <w:tab w:val="center" w:pos="1018"/>
              </w:tabs>
              <w:autoSpaceDE w:val="0"/>
              <w:autoSpaceDN w:val="0"/>
              <w:adjustRightInd w:val="0"/>
              <w:spacing w:line="360" w:lineRule="auto"/>
              <w:jc w:val="center"/>
              <w:rPr>
                <w:rFonts w:cs="Aparajita"/>
                <w:b/>
              </w:rPr>
            </w:pPr>
            <w:r>
              <w:rPr>
                <w:rFonts w:cs="Aparajita"/>
                <w:b/>
              </w:rPr>
              <w:t>Target</w:t>
            </w:r>
          </w:p>
        </w:tc>
        <w:tc>
          <w:tcPr>
            <w:tcW w:w="1452" w:type="dxa"/>
            <w:tcBorders>
              <w:bottom w:val="single" w:sz="4" w:space="0" w:color="auto"/>
            </w:tcBorders>
            <w:shd w:val="clear" w:color="auto" w:fill="C00000"/>
          </w:tcPr>
          <w:p w:rsidR="007335FD" w:rsidRDefault="00815898">
            <w:pPr>
              <w:tabs>
                <w:tab w:val="left" w:pos="615"/>
                <w:tab w:val="center" w:pos="1018"/>
              </w:tabs>
              <w:autoSpaceDE w:val="0"/>
              <w:autoSpaceDN w:val="0"/>
              <w:adjustRightInd w:val="0"/>
              <w:spacing w:line="360" w:lineRule="auto"/>
              <w:jc w:val="center"/>
              <w:rPr>
                <w:rFonts w:cs="Aparajita"/>
                <w:b/>
              </w:rPr>
            </w:pPr>
            <w:r>
              <w:rPr>
                <w:rFonts w:cs="Aparajita"/>
                <w:b/>
              </w:rPr>
              <w:t>Realisasi</w:t>
            </w:r>
          </w:p>
        </w:tc>
        <w:tc>
          <w:tcPr>
            <w:tcW w:w="1044" w:type="dxa"/>
            <w:tcBorders>
              <w:bottom w:val="single" w:sz="4" w:space="0" w:color="auto"/>
            </w:tcBorders>
            <w:shd w:val="clear" w:color="auto" w:fill="C00000"/>
          </w:tcPr>
          <w:p w:rsidR="007335FD" w:rsidRDefault="00815898">
            <w:pPr>
              <w:tabs>
                <w:tab w:val="left" w:pos="615"/>
                <w:tab w:val="center" w:pos="1018"/>
              </w:tabs>
              <w:autoSpaceDE w:val="0"/>
              <w:autoSpaceDN w:val="0"/>
              <w:adjustRightInd w:val="0"/>
              <w:spacing w:line="360" w:lineRule="auto"/>
              <w:jc w:val="center"/>
              <w:rPr>
                <w:rFonts w:cs="Aparajita"/>
                <w:b/>
              </w:rPr>
            </w:pPr>
            <w:r>
              <w:rPr>
                <w:rFonts w:cs="Aparajita"/>
                <w:b/>
              </w:rPr>
              <w:t>Capaian</w:t>
            </w:r>
          </w:p>
        </w:tc>
      </w:tr>
      <w:tr w:rsidR="007335FD">
        <w:trPr>
          <w:trHeight w:val="287"/>
        </w:trPr>
        <w:tc>
          <w:tcPr>
            <w:tcW w:w="645"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1</w:t>
            </w:r>
          </w:p>
        </w:tc>
        <w:tc>
          <w:tcPr>
            <w:tcW w:w="2190"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2</w:t>
            </w:r>
          </w:p>
        </w:tc>
        <w:tc>
          <w:tcPr>
            <w:tcW w:w="2910"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3</w:t>
            </w:r>
          </w:p>
        </w:tc>
        <w:tc>
          <w:tcPr>
            <w:tcW w:w="1312"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4</w:t>
            </w:r>
          </w:p>
        </w:tc>
        <w:tc>
          <w:tcPr>
            <w:tcW w:w="1452"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5</w:t>
            </w:r>
          </w:p>
        </w:tc>
        <w:tc>
          <w:tcPr>
            <w:tcW w:w="1044"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rPr>
            </w:pPr>
            <w:r>
              <w:rPr>
                <w:rFonts w:cs="Aparajita"/>
                <w:b/>
              </w:rPr>
              <w:t>6</w:t>
            </w:r>
          </w:p>
        </w:tc>
      </w:tr>
      <w:tr w:rsidR="007335FD">
        <w:tc>
          <w:tcPr>
            <w:tcW w:w="645" w:type="dxa"/>
            <w:shd w:val="clear" w:color="auto" w:fill="auto"/>
          </w:tcPr>
          <w:p w:rsidR="007335FD" w:rsidRDefault="00815898">
            <w:pPr>
              <w:autoSpaceDE w:val="0"/>
              <w:autoSpaceDN w:val="0"/>
              <w:adjustRightInd w:val="0"/>
              <w:spacing w:line="360" w:lineRule="auto"/>
              <w:jc w:val="center"/>
              <w:rPr>
                <w:rFonts w:cs="Aparajita"/>
              </w:rPr>
            </w:pPr>
            <w:r>
              <w:rPr>
                <w:rFonts w:cs="Aparajita"/>
              </w:rPr>
              <w:t>1</w:t>
            </w:r>
          </w:p>
        </w:tc>
        <w:tc>
          <w:tcPr>
            <w:tcW w:w="2190" w:type="dxa"/>
            <w:shd w:val="clear" w:color="auto" w:fill="auto"/>
          </w:tcPr>
          <w:p w:rsidR="007335FD" w:rsidRDefault="00815898">
            <w:pPr>
              <w:rPr>
                <w:rFonts w:cs="Arial"/>
              </w:rPr>
            </w:pPr>
            <w:r>
              <w:rPr>
                <w:color w:val="000000" w:themeColor="text1"/>
              </w:rPr>
              <w:t>Meningkatnya tata kelola organisasi</w:t>
            </w:r>
          </w:p>
        </w:tc>
        <w:tc>
          <w:tcPr>
            <w:tcW w:w="2910" w:type="dxa"/>
            <w:shd w:val="clear" w:color="auto" w:fill="auto"/>
          </w:tcPr>
          <w:p w:rsidR="007335FD" w:rsidRDefault="00815898">
            <w:pPr>
              <w:pStyle w:val="NoSpacing"/>
              <w:numPr>
                <w:ilvl w:val="0"/>
                <w:numId w:val="22"/>
              </w:numPr>
              <w:ind w:left="376"/>
              <w:jc w:val="left"/>
              <w:rPr>
                <w:color w:val="000000" w:themeColor="text1"/>
                <w:sz w:val="22"/>
                <w:szCs w:val="22"/>
              </w:rPr>
            </w:pPr>
            <w:r>
              <w:rPr>
                <w:color w:val="000000" w:themeColor="text1"/>
                <w:sz w:val="22"/>
                <w:szCs w:val="22"/>
              </w:rPr>
              <w:t>Nilai Evaluasi Akuntabilitas Kinerja</w:t>
            </w:r>
          </w:p>
          <w:p w:rsidR="007335FD" w:rsidRDefault="007335FD">
            <w:pPr>
              <w:pStyle w:val="NoSpacing"/>
              <w:ind w:left="376"/>
              <w:jc w:val="left"/>
              <w:rPr>
                <w:color w:val="000000" w:themeColor="text1"/>
                <w:sz w:val="22"/>
                <w:szCs w:val="22"/>
              </w:rPr>
            </w:pPr>
          </w:p>
          <w:p w:rsidR="007335FD" w:rsidRDefault="00815898">
            <w:pPr>
              <w:pStyle w:val="NoSpacing"/>
              <w:numPr>
                <w:ilvl w:val="0"/>
                <w:numId w:val="22"/>
              </w:numPr>
              <w:ind w:left="376"/>
              <w:jc w:val="left"/>
              <w:rPr>
                <w:rFonts w:cs="Arial"/>
                <w:sz w:val="22"/>
                <w:szCs w:val="22"/>
              </w:rPr>
            </w:pPr>
            <w:r>
              <w:rPr>
                <w:color w:val="000000" w:themeColor="text1"/>
                <w:sz w:val="22"/>
                <w:szCs w:val="22"/>
              </w:rPr>
              <w:t>Persentase capaian realisasi fisik dan keuangan pelaksanaan program/kegiatan</w:t>
            </w:r>
          </w:p>
        </w:tc>
        <w:tc>
          <w:tcPr>
            <w:tcW w:w="1312" w:type="dxa"/>
            <w:shd w:val="clear" w:color="auto" w:fill="auto"/>
          </w:tcPr>
          <w:p w:rsidR="007335FD" w:rsidRDefault="00815898">
            <w:pPr>
              <w:autoSpaceDE w:val="0"/>
              <w:autoSpaceDN w:val="0"/>
              <w:adjustRightInd w:val="0"/>
              <w:spacing w:line="360" w:lineRule="auto"/>
              <w:jc w:val="center"/>
              <w:rPr>
                <w:rFonts w:cs="Aparajita"/>
              </w:rPr>
            </w:pPr>
            <w:r>
              <w:rPr>
                <w:rFonts w:cs="Aparajita"/>
              </w:rPr>
              <w:t>BB (74)</w:t>
            </w: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95%</w:t>
            </w:r>
          </w:p>
          <w:p w:rsidR="007335FD" w:rsidRDefault="00815898">
            <w:pPr>
              <w:autoSpaceDE w:val="0"/>
              <w:autoSpaceDN w:val="0"/>
              <w:adjustRightInd w:val="0"/>
              <w:spacing w:line="360" w:lineRule="auto"/>
              <w:jc w:val="center"/>
              <w:rPr>
                <w:rFonts w:cs="Aparajita"/>
              </w:rPr>
            </w:pPr>
            <w:r>
              <w:rPr>
                <w:rFonts w:cs="Aparajita"/>
              </w:rPr>
              <w:t>(fisik)</w:t>
            </w:r>
          </w:p>
          <w:p w:rsidR="007335FD" w:rsidRDefault="00815898">
            <w:pPr>
              <w:autoSpaceDE w:val="0"/>
              <w:autoSpaceDN w:val="0"/>
              <w:adjustRightInd w:val="0"/>
              <w:spacing w:line="360" w:lineRule="auto"/>
              <w:jc w:val="center"/>
              <w:rPr>
                <w:rFonts w:cs="Aparajita"/>
              </w:rPr>
            </w:pPr>
            <w:r>
              <w:rPr>
                <w:rFonts w:cs="Aparajita"/>
              </w:rPr>
              <w:t>95%</w:t>
            </w:r>
          </w:p>
          <w:p w:rsidR="007335FD" w:rsidRDefault="00815898">
            <w:pPr>
              <w:autoSpaceDE w:val="0"/>
              <w:autoSpaceDN w:val="0"/>
              <w:adjustRightInd w:val="0"/>
              <w:spacing w:line="360" w:lineRule="auto"/>
              <w:jc w:val="center"/>
              <w:rPr>
                <w:rFonts w:cs="Aparajita"/>
              </w:rPr>
            </w:pPr>
            <w:r>
              <w:rPr>
                <w:rFonts w:cs="Aparajita"/>
              </w:rPr>
              <w:t>(keuangan)</w:t>
            </w:r>
          </w:p>
        </w:tc>
        <w:tc>
          <w:tcPr>
            <w:tcW w:w="1452" w:type="dxa"/>
            <w:shd w:val="clear" w:color="auto" w:fill="auto"/>
          </w:tcPr>
          <w:p w:rsidR="007335FD" w:rsidRDefault="00815898">
            <w:pPr>
              <w:autoSpaceDE w:val="0"/>
              <w:autoSpaceDN w:val="0"/>
              <w:adjustRightInd w:val="0"/>
              <w:spacing w:line="360" w:lineRule="auto"/>
              <w:jc w:val="center"/>
              <w:rPr>
                <w:rFonts w:cs="Aparajita"/>
              </w:rPr>
            </w:pPr>
            <w:r>
              <w:rPr>
                <w:rFonts w:cs="Aparajita"/>
              </w:rPr>
              <w:t>B(62,50)</w:t>
            </w:r>
          </w:p>
          <w:p w:rsidR="007335FD" w:rsidRDefault="007335FD">
            <w:pPr>
              <w:autoSpaceDE w:val="0"/>
              <w:autoSpaceDN w:val="0"/>
              <w:adjustRightInd w:val="0"/>
              <w:spacing w:line="360" w:lineRule="auto"/>
              <w:jc w:val="center"/>
              <w:rPr>
                <w:rFonts w:cs="Aparajita"/>
              </w:rPr>
            </w:pPr>
          </w:p>
          <w:p w:rsidR="007335FD" w:rsidRDefault="00815898">
            <w:pPr>
              <w:pStyle w:val="NoSpacing"/>
              <w:spacing w:line="360" w:lineRule="auto"/>
              <w:jc w:val="center"/>
              <w:rPr>
                <w:color w:val="000000" w:themeColor="text1"/>
                <w:sz w:val="22"/>
                <w:szCs w:val="22"/>
              </w:rPr>
            </w:pPr>
            <w:r>
              <w:rPr>
                <w:color w:val="000000" w:themeColor="text1"/>
                <w:sz w:val="22"/>
                <w:szCs w:val="22"/>
              </w:rPr>
              <w:t>99,81 %</w:t>
            </w:r>
          </w:p>
          <w:p w:rsidR="007335FD" w:rsidRDefault="007335FD">
            <w:pPr>
              <w:pStyle w:val="NoSpacing"/>
              <w:spacing w:line="360" w:lineRule="auto"/>
              <w:jc w:val="center"/>
              <w:rPr>
                <w:color w:val="000000" w:themeColor="text1"/>
                <w:sz w:val="22"/>
                <w:szCs w:val="22"/>
              </w:rPr>
            </w:pPr>
          </w:p>
          <w:p w:rsidR="007335FD" w:rsidRDefault="00815898">
            <w:pPr>
              <w:autoSpaceDE w:val="0"/>
              <w:autoSpaceDN w:val="0"/>
              <w:adjustRightInd w:val="0"/>
              <w:spacing w:line="360" w:lineRule="auto"/>
              <w:jc w:val="center"/>
              <w:rPr>
                <w:rFonts w:cs="Aparajita"/>
              </w:rPr>
            </w:pPr>
            <w:r>
              <w:rPr>
                <w:rFonts w:cs="Aparajita"/>
              </w:rPr>
              <w:t>96,19%</w:t>
            </w:r>
          </w:p>
        </w:tc>
        <w:tc>
          <w:tcPr>
            <w:tcW w:w="1044" w:type="dxa"/>
            <w:shd w:val="clear" w:color="auto" w:fill="auto"/>
          </w:tcPr>
          <w:p w:rsidR="007335FD" w:rsidRDefault="00815898">
            <w:pPr>
              <w:autoSpaceDE w:val="0"/>
              <w:autoSpaceDN w:val="0"/>
              <w:adjustRightInd w:val="0"/>
              <w:spacing w:line="360" w:lineRule="auto"/>
              <w:jc w:val="center"/>
              <w:rPr>
                <w:rFonts w:cs="Aparajita"/>
              </w:rPr>
            </w:pPr>
            <w:r>
              <w:rPr>
                <w:rFonts w:cs="Aparajita"/>
              </w:rPr>
              <w:t>84,45%</w:t>
            </w: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105,06%</w:t>
            </w: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101,25%</w:t>
            </w:r>
          </w:p>
        </w:tc>
      </w:tr>
      <w:tr w:rsidR="007335FD">
        <w:tc>
          <w:tcPr>
            <w:tcW w:w="8509" w:type="dxa"/>
            <w:gridSpan w:val="5"/>
            <w:shd w:val="clear" w:color="auto" w:fill="auto"/>
          </w:tcPr>
          <w:p w:rsidR="007335FD" w:rsidRDefault="00815898">
            <w:pPr>
              <w:autoSpaceDE w:val="0"/>
              <w:autoSpaceDN w:val="0"/>
              <w:adjustRightInd w:val="0"/>
              <w:spacing w:line="360" w:lineRule="auto"/>
              <w:jc w:val="center"/>
              <w:rPr>
                <w:rFonts w:cs="Aparajita"/>
                <w:b/>
                <w:bCs/>
              </w:rPr>
            </w:pPr>
            <w:r>
              <w:rPr>
                <w:rFonts w:cs="Aparajita"/>
                <w:b/>
                <w:bCs/>
              </w:rPr>
              <w:t>Rata-rata Persentase Capaian Kinerja Meningkatnya Tata Kelola Organisasi</w:t>
            </w:r>
          </w:p>
        </w:tc>
        <w:tc>
          <w:tcPr>
            <w:tcW w:w="1044" w:type="dxa"/>
            <w:shd w:val="clear" w:color="auto" w:fill="auto"/>
          </w:tcPr>
          <w:p w:rsidR="007335FD" w:rsidRDefault="00815898">
            <w:pPr>
              <w:autoSpaceDE w:val="0"/>
              <w:autoSpaceDN w:val="0"/>
              <w:adjustRightInd w:val="0"/>
              <w:spacing w:line="360" w:lineRule="auto"/>
              <w:jc w:val="center"/>
              <w:rPr>
                <w:rFonts w:cs="Aparajita"/>
                <w:b/>
                <w:bCs/>
              </w:rPr>
            </w:pPr>
            <w:r>
              <w:rPr>
                <w:rFonts w:cs="Aparajita"/>
                <w:b/>
                <w:bCs/>
              </w:rPr>
              <w:t>96,92</w:t>
            </w:r>
          </w:p>
        </w:tc>
      </w:tr>
      <w:tr w:rsidR="007335FD">
        <w:tc>
          <w:tcPr>
            <w:tcW w:w="645" w:type="dxa"/>
            <w:shd w:val="clear" w:color="auto" w:fill="auto"/>
          </w:tcPr>
          <w:p w:rsidR="007335FD" w:rsidRDefault="00815898">
            <w:pPr>
              <w:autoSpaceDE w:val="0"/>
              <w:autoSpaceDN w:val="0"/>
              <w:adjustRightInd w:val="0"/>
              <w:spacing w:line="360" w:lineRule="auto"/>
              <w:jc w:val="center"/>
              <w:rPr>
                <w:rFonts w:cs="Aparajita"/>
              </w:rPr>
            </w:pPr>
            <w:r>
              <w:rPr>
                <w:rFonts w:cs="Aparajita"/>
              </w:rPr>
              <w:t>2</w:t>
            </w:r>
          </w:p>
        </w:tc>
        <w:tc>
          <w:tcPr>
            <w:tcW w:w="2190" w:type="dxa"/>
            <w:shd w:val="clear" w:color="auto" w:fill="auto"/>
          </w:tcPr>
          <w:p w:rsidR="007335FD" w:rsidRDefault="00815898">
            <w:pPr>
              <w:pStyle w:val="NoSpacing"/>
              <w:jc w:val="left"/>
              <w:rPr>
                <w:color w:val="000000" w:themeColor="text1"/>
                <w:sz w:val="22"/>
                <w:szCs w:val="22"/>
              </w:rPr>
            </w:pPr>
            <w:r>
              <w:rPr>
                <w:color w:val="000000" w:themeColor="text1"/>
                <w:sz w:val="22"/>
                <w:szCs w:val="22"/>
              </w:rPr>
              <w:t>Meningkatnya keamanan, ketentraman dan ketertiban masyarakat</w:t>
            </w:r>
          </w:p>
          <w:p w:rsidR="007335FD" w:rsidRDefault="007335FD">
            <w:pPr>
              <w:rPr>
                <w:rFonts w:cs="Arial"/>
                <w:color w:val="000000" w:themeColor="text1"/>
              </w:rPr>
            </w:pPr>
          </w:p>
        </w:tc>
        <w:tc>
          <w:tcPr>
            <w:tcW w:w="2910" w:type="dxa"/>
            <w:shd w:val="clear" w:color="auto" w:fill="auto"/>
          </w:tcPr>
          <w:p w:rsidR="007335FD" w:rsidRDefault="00815898">
            <w:pPr>
              <w:pStyle w:val="NoSpacing"/>
              <w:numPr>
                <w:ilvl w:val="0"/>
                <w:numId w:val="23"/>
              </w:numPr>
              <w:ind w:left="376"/>
              <w:jc w:val="left"/>
              <w:rPr>
                <w:color w:val="000000" w:themeColor="text1"/>
                <w:sz w:val="22"/>
                <w:szCs w:val="22"/>
              </w:rPr>
            </w:pPr>
            <w:r>
              <w:rPr>
                <w:color w:val="000000" w:themeColor="text1"/>
                <w:sz w:val="22"/>
                <w:szCs w:val="22"/>
              </w:rPr>
              <w:t>Persentase penurunan konflik sosial di Sumbar</w:t>
            </w:r>
          </w:p>
          <w:p w:rsidR="007335FD" w:rsidRDefault="00815898">
            <w:pPr>
              <w:pStyle w:val="NoSpacing"/>
              <w:numPr>
                <w:ilvl w:val="0"/>
                <w:numId w:val="23"/>
              </w:numPr>
              <w:ind w:left="376"/>
              <w:jc w:val="left"/>
              <w:rPr>
                <w:rFonts w:cs="Arial"/>
                <w:color w:val="000000" w:themeColor="text1"/>
                <w:sz w:val="22"/>
                <w:szCs w:val="22"/>
              </w:rPr>
            </w:pPr>
            <w:r>
              <w:rPr>
                <w:color w:val="000000" w:themeColor="text1"/>
                <w:sz w:val="22"/>
                <w:szCs w:val="22"/>
              </w:rPr>
              <w:t>Persentase penurunan angka kriminalitas di Sumbar</w:t>
            </w:r>
          </w:p>
        </w:tc>
        <w:tc>
          <w:tcPr>
            <w:tcW w:w="1312" w:type="dxa"/>
            <w:shd w:val="clear" w:color="auto" w:fill="auto"/>
          </w:tcPr>
          <w:p w:rsidR="007335FD" w:rsidRDefault="00815898">
            <w:pPr>
              <w:autoSpaceDE w:val="0"/>
              <w:autoSpaceDN w:val="0"/>
              <w:adjustRightInd w:val="0"/>
              <w:spacing w:line="360" w:lineRule="auto"/>
              <w:jc w:val="center"/>
              <w:rPr>
                <w:rFonts w:cs="Aparajita"/>
              </w:rPr>
            </w:pPr>
            <w:r>
              <w:rPr>
                <w:rFonts w:cs="Aparajita"/>
              </w:rPr>
              <w:t>5%</w:t>
            </w: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5%</w:t>
            </w:r>
          </w:p>
        </w:tc>
        <w:tc>
          <w:tcPr>
            <w:tcW w:w="1452" w:type="dxa"/>
            <w:shd w:val="clear" w:color="auto" w:fill="auto"/>
          </w:tcPr>
          <w:p w:rsidR="007335FD" w:rsidRDefault="00815898">
            <w:pPr>
              <w:autoSpaceDE w:val="0"/>
              <w:autoSpaceDN w:val="0"/>
              <w:adjustRightInd w:val="0"/>
              <w:spacing w:line="360" w:lineRule="auto"/>
              <w:jc w:val="center"/>
              <w:rPr>
                <w:rFonts w:cs="Aparajita"/>
              </w:rPr>
            </w:pPr>
            <w:r>
              <w:rPr>
                <w:rFonts w:cs="Aparajita"/>
              </w:rPr>
              <w:t>33%</w:t>
            </w:r>
          </w:p>
          <w:p w:rsidR="007335FD" w:rsidRDefault="007335FD">
            <w:pPr>
              <w:autoSpaceDE w:val="0"/>
              <w:autoSpaceDN w:val="0"/>
              <w:adjustRightInd w:val="0"/>
              <w:spacing w:line="360" w:lineRule="auto"/>
              <w:jc w:val="both"/>
              <w:rPr>
                <w:rFonts w:cs="Aparajita"/>
              </w:rPr>
            </w:pPr>
          </w:p>
          <w:p w:rsidR="007335FD" w:rsidRDefault="00815898">
            <w:pPr>
              <w:autoSpaceDE w:val="0"/>
              <w:autoSpaceDN w:val="0"/>
              <w:adjustRightInd w:val="0"/>
              <w:spacing w:line="360" w:lineRule="auto"/>
              <w:jc w:val="center"/>
              <w:rPr>
                <w:rFonts w:cs="Aparajita"/>
              </w:rPr>
            </w:pPr>
            <w:r>
              <w:rPr>
                <w:rFonts w:cs="Aparajita"/>
              </w:rPr>
              <w:t>8,5%</w:t>
            </w:r>
          </w:p>
        </w:tc>
        <w:tc>
          <w:tcPr>
            <w:tcW w:w="1044" w:type="dxa"/>
            <w:shd w:val="clear" w:color="auto" w:fill="auto"/>
          </w:tcPr>
          <w:p w:rsidR="007335FD" w:rsidRDefault="00815898">
            <w:pPr>
              <w:autoSpaceDE w:val="0"/>
              <w:autoSpaceDN w:val="0"/>
              <w:adjustRightInd w:val="0"/>
              <w:spacing w:line="360" w:lineRule="auto"/>
              <w:jc w:val="center"/>
              <w:rPr>
                <w:rFonts w:cs="Aparajita"/>
              </w:rPr>
            </w:pPr>
            <w:r>
              <w:rPr>
                <w:rFonts w:cs="Aparajita"/>
              </w:rPr>
              <w:t>660%</w:t>
            </w: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170%</w:t>
            </w:r>
          </w:p>
        </w:tc>
      </w:tr>
      <w:tr w:rsidR="007335FD">
        <w:tc>
          <w:tcPr>
            <w:tcW w:w="8509" w:type="dxa"/>
            <w:gridSpan w:val="5"/>
            <w:shd w:val="clear" w:color="auto" w:fill="auto"/>
          </w:tcPr>
          <w:p w:rsidR="007335FD" w:rsidRDefault="00815898">
            <w:pPr>
              <w:autoSpaceDE w:val="0"/>
              <w:autoSpaceDN w:val="0"/>
              <w:adjustRightInd w:val="0"/>
              <w:spacing w:line="360" w:lineRule="auto"/>
              <w:jc w:val="center"/>
              <w:rPr>
                <w:rFonts w:cs="Aparajita"/>
                <w:b/>
                <w:bCs/>
              </w:rPr>
            </w:pPr>
            <w:r>
              <w:rPr>
                <w:rFonts w:cs="Aparajita"/>
                <w:b/>
                <w:bCs/>
              </w:rPr>
              <w:t>Rata-rata Persentase Meningkatnya Keamanan, Ketentraman dan Ketertiban Masyarakat</w:t>
            </w:r>
          </w:p>
        </w:tc>
        <w:tc>
          <w:tcPr>
            <w:tcW w:w="1044" w:type="dxa"/>
            <w:shd w:val="clear" w:color="auto" w:fill="auto"/>
          </w:tcPr>
          <w:p w:rsidR="007335FD" w:rsidRDefault="00815898">
            <w:pPr>
              <w:autoSpaceDE w:val="0"/>
              <w:autoSpaceDN w:val="0"/>
              <w:adjustRightInd w:val="0"/>
              <w:spacing w:line="360" w:lineRule="auto"/>
              <w:jc w:val="center"/>
              <w:rPr>
                <w:rFonts w:cs="Aparajita"/>
                <w:b/>
                <w:bCs/>
              </w:rPr>
            </w:pPr>
            <w:r>
              <w:rPr>
                <w:rFonts w:cs="Aparajita"/>
                <w:b/>
                <w:bCs/>
              </w:rPr>
              <w:t>415%</w:t>
            </w:r>
          </w:p>
        </w:tc>
      </w:tr>
      <w:tr w:rsidR="007335FD">
        <w:tc>
          <w:tcPr>
            <w:tcW w:w="645" w:type="dxa"/>
            <w:shd w:val="clear" w:color="auto" w:fill="auto"/>
          </w:tcPr>
          <w:p w:rsidR="007335FD" w:rsidRDefault="00815898">
            <w:pPr>
              <w:autoSpaceDE w:val="0"/>
              <w:autoSpaceDN w:val="0"/>
              <w:adjustRightInd w:val="0"/>
              <w:spacing w:line="360" w:lineRule="auto"/>
              <w:jc w:val="center"/>
              <w:rPr>
                <w:rFonts w:cs="Aparajita"/>
              </w:rPr>
            </w:pPr>
            <w:r>
              <w:rPr>
                <w:rFonts w:cs="Aparajita"/>
              </w:rPr>
              <w:t>3</w:t>
            </w:r>
          </w:p>
        </w:tc>
        <w:tc>
          <w:tcPr>
            <w:tcW w:w="2190" w:type="dxa"/>
            <w:shd w:val="clear" w:color="auto" w:fill="auto"/>
          </w:tcPr>
          <w:p w:rsidR="007335FD" w:rsidRDefault="00815898">
            <w:pPr>
              <w:pStyle w:val="NoSpacing"/>
              <w:rPr>
                <w:color w:val="000000" w:themeColor="text1"/>
                <w:sz w:val="22"/>
                <w:szCs w:val="22"/>
              </w:rPr>
            </w:pPr>
            <w:r>
              <w:rPr>
                <w:color w:val="000000" w:themeColor="text1"/>
                <w:sz w:val="22"/>
                <w:szCs w:val="22"/>
              </w:rPr>
              <w:t>Meningkatnya kualitas demokrasi di Sumatera Barat</w:t>
            </w:r>
          </w:p>
        </w:tc>
        <w:tc>
          <w:tcPr>
            <w:tcW w:w="2910" w:type="dxa"/>
            <w:shd w:val="clear" w:color="auto" w:fill="auto"/>
          </w:tcPr>
          <w:p w:rsidR="007335FD" w:rsidRDefault="00815898">
            <w:pPr>
              <w:pStyle w:val="NoSpacing"/>
              <w:jc w:val="left"/>
              <w:rPr>
                <w:rFonts w:cs="Arial"/>
                <w:color w:val="000000" w:themeColor="text1"/>
                <w:sz w:val="22"/>
                <w:szCs w:val="22"/>
              </w:rPr>
            </w:pPr>
            <w:r>
              <w:rPr>
                <w:color w:val="000000" w:themeColor="text1"/>
                <w:sz w:val="22"/>
                <w:szCs w:val="22"/>
              </w:rPr>
              <w:t>Nilai Indeks Demokrasi Indonesia (IDI)di Sumbar</w:t>
            </w:r>
          </w:p>
        </w:tc>
        <w:tc>
          <w:tcPr>
            <w:tcW w:w="1312" w:type="dxa"/>
            <w:shd w:val="clear" w:color="auto" w:fill="auto"/>
          </w:tcPr>
          <w:p w:rsidR="007335FD" w:rsidRDefault="00815898">
            <w:pPr>
              <w:autoSpaceDE w:val="0"/>
              <w:autoSpaceDN w:val="0"/>
              <w:adjustRightInd w:val="0"/>
              <w:spacing w:line="360" w:lineRule="auto"/>
              <w:jc w:val="center"/>
              <w:rPr>
                <w:rFonts w:cs="Aparajita"/>
              </w:rPr>
            </w:pPr>
            <w:r>
              <w:rPr>
                <w:rFonts w:cs="Aparajita"/>
              </w:rPr>
              <w:t>70</w:t>
            </w:r>
          </w:p>
        </w:tc>
        <w:tc>
          <w:tcPr>
            <w:tcW w:w="1452" w:type="dxa"/>
            <w:shd w:val="clear" w:color="auto" w:fill="auto"/>
          </w:tcPr>
          <w:p w:rsidR="007335FD" w:rsidRDefault="00815898">
            <w:pPr>
              <w:autoSpaceDE w:val="0"/>
              <w:autoSpaceDN w:val="0"/>
              <w:adjustRightInd w:val="0"/>
              <w:spacing w:line="360" w:lineRule="auto"/>
              <w:jc w:val="center"/>
              <w:rPr>
                <w:rFonts w:cs="Aparajita"/>
              </w:rPr>
            </w:pPr>
            <w:r>
              <w:rPr>
                <w:rFonts w:cs="Aparajita"/>
              </w:rPr>
              <w:t>69,50</w:t>
            </w:r>
          </w:p>
        </w:tc>
        <w:tc>
          <w:tcPr>
            <w:tcW w:w="1044" w:type="dxa"/>
            <w:shd w:val="clear" w:color="auto" w:fill="auto"/>
          </w:tcPr>
          <w:p w:rsidR="007335FD" w:rsidRDefault="00815898">
            <w:pPr>
              <w:autoSpaceDE w:val="0"/>
              <w:autoSpaceDN w:val="0"/>
              <w:adjustRightInd w:val="0"/>
              <w:spacing w:line="360" w:lineRule="auto"/>
              <w:jc w:val="center"/>
              <w:rPr>
                <w:rFonts w:cs="Aparajita"/>
              </w:rPr>
            </w:pPr>
            <w:r>
              <w:rPr>
                <w:rFonts w:cs="Aparajita"/>
              </w:rPr>
              <w:t>99,28%</w:t>
            </w:r>
          </w:p>
        </w:tc>
      </w:tr>
      <w:tr w:rsidR="007335FD">
        <w:tc>
          <w:tcPr>
            <w:tcW w:w="8509" w:type="dxa"/>
            <w:gridSpan w:val="5"/>
            <w:shd w:val="clear" w:color="auto" w:fill="auto"/>
          </w:tcPr>
          <w:p w:rsidR="007335FD" w:rsidRDefault="00815898">
            <w:pPr>
              <w:autoSpaceDE w:val="0"/>
              <w:autoSpaceDN w:val="0"/>
              <w:adjustRightInd w:val="0"/>
              <w:spacing w:line="360" w:lineRule="auto"/>
              <w:rPr>
                <w:rFonts w:cs="Aparajita"/>
              </w:rPr>
            </w:pPr>
            <w:r>
              <w:rPr>
                <w:rFonts w:cs="Aparajita"/>
                <w:b/>
                <w:bCs/>
              </w:rPr>
              <w:t>Rata-rata Persentase Meningkatnya Kualitas Demokrasi di Sumatera Barat</w:t>
            </w:r>
          </w:p>
        </w:tc>
        <w:tc>
          <w:tcPr>
            <w:tcW w:w="1044" w:type="dxa"/>
            <w:shd w:val="clear" w:color="auto" w:fill="auto"/>
          </w:tcPr>
          <w:p w:rsidR="007335FD" w:rsidRDefault="00815898">
            <w:pPr>
              <w:autoSpaceDE w:val="0"/>
              <w:autoSpaceDN w:val="0"/>
              <w:adjustRightInd w:val="0"/>
              <w:spacing w:line="360" w:lineRule="auto"/>
              <w:jc w:val="center"/>
              <w:rPr>
                <w:rFonts w:cs="Aparajita"/>
                <w:b/>
                <w:bCs/>
              </w:rPr>
            </w:pPr>
            <w:r>
              <w:rPr>
                <w:rFonts w:cs="Aparajita"/>
                <w:b/>
                <w:bCs/>
              </w:rPr>
              <w:t>99,82%</w:t>
            </w:r>
          </w:p>
        </w:tc>
      </w:tr>
      <w:tr w:rsidR="007335FD">
        <w:tc>
          <w:tcPr>
            <w:tcW w:w="8509" w:type="dxa"/>
            <w:gridSpan w:val="5"/>
            <w:shd w:val="clear" w:color="auto" w:fill="C00000"/>
          </w:tcPr>
          <w:p w:rsidR="007335FD" w:rsidRDefault="00815898">
            <w:pPr>
              <w:autoSpaceDE w:val="0"/>
              <w:autoSpaceDN w:val="0"/>
              <w:adjustRightInd w:val="0"/>
              <w:spacing w:line="360" w:lineRule="auto"/>
              <w:rPr>
                <w:rFonts w:cs="Aparajita"/>
                <w:b/>
              </w:rPr>
            </w:pPr>
            <w:r>
              <w:rPr>
                <w:rFonts w:cs="Aparajita"/>
                <w:b/>
              </w:rPr>
              <w:lastRenderedPageBreak/>
              <w:t>Rata-rata Capaian Indikator 3 Sasaran Strategis 5 Indikator Kinerja</w:t>
            </w:r>
          </w:p>
        </w:tc>
        <w:tc>
          <w:tcPr>
            <w:tcW w:w="1044" w:type="dxa"/>
            <w:shd w:val="clear" w:color="auto" w:fill="C00000"/>
          </w:tcPr>
          <w:p w:rsidR="007335FD" w:rsidRDefault="00815898">
            <w:pPr>
              <w:autoSpaceDE w:val="0"/>
              <w:autoSpaceDN w:val="0"/>
              <w:adjustRightInd w:val="0"/>
              <w:spacing w:line="360" w:lineRule="auto"/>
              <w:jc w:val="center"/>
              <w:rPr>
                <w:rFonts w:cs="Aparajita"/>
                <w:b/>
              </w:rPr>
            </w:pPr>
            <w:r>
              <w:rPr>
                <w:rFonts w:cs="Aparajita"/>
                <w:b/>
              </w:rPr>
              <w:t>186,67%</w:t>
            </w:r>
          </w:p>
        </w:tc>
      </w:tr>
    </w:tbl>
    <w:p w:rsidR="007335FD" w:rsidRDefault="00815898">
      <w:pPr>
        <w:autoSpaceDE w:val="0"/>
        <w:autoSpaceDN w:val="0"/>
        <w:adjustRightInd w:val="0"/>
        <w:spacing w:after="0" w:line="360" w:lineRule="auto"/>
        <w:jc w:val="both"/>
        <w:rPr>
          <w:rFonts w:ascii="Berlin Sans FB" w:hAnsi="Berlin Sans FB" w:cs="Arial"/>
          <w:sz w:val="24"/>
          <w:szCs w:val="24"/>
        </w:rPr>
      </w:pPr>
      <w:r>
        <w:rPr>
          <w:rFonts w:ascii="Berlin Sans FB" w:hAnsi="Berlin Sans FB" w:cs="Arial"/>
          <w:sz w:val="24"/>
          <w:szCs w:val="24"/>
        </w:rPr>
        <w:tab/>
      </w:r>
    </w:p>
    <w:p w:rsidR="007335FD" w:rsidRDefault="00815898">
      <w:pPr>
        <w:spacing w:line="360" w:lineRule="auto"/>
        <w:ind w:left="440" w:firstLineChars="300" w:firstLine="720"/>
        <w:jc w:val="both"/>
        <w:rPr>
          <w:rFonts w:cs="Aparajita"/>
          <w:sz w:val="24"/>
          <w:szCs w:val="24"/>
        </w:rPr>
      </w:pPr>
      <w:r>
        <w:rPr>
          <w:rFonts w:hAnsi="Tahoma" w:cs="Tahoma"/>
          <w:color w:val="000000"/>
          <w:sz w:val="24"/>
          <w:szCs w:val="24"/>
        </w:rPr>
        <w:t xml:space="preserve">Pada tabel di atas, hasil pengukuran kinerja untuk capaian kinerja berdasarkan sasaran strategis yaitu ketiga sasaran strategis berhasil dicapai sesuai dengan target yang ditetapkan atau dengan kategori nilai </w:t>
      </w:r>
      <w:r>
        <w:rPr>
          <w:rFonts w:hAnsi="Tahoma" w:cs="Tahoma"/>
          <w:color w:val="000000"/>
          <w:sz w:val="24"/>
          <w:szCs w:val="24"/>
        </w:rPr>
        <w:t>“</w:t>
      </w:r>
      <w:r>
        <w:rPr>
          <w:rFonts w:hAnsi="Tahoma" w:cs="Tahoma"/>
          <w:color w:val="000000"/>
          <w:sz w:val="24"/>
          <w:szCs w:val="24"/>
        </w:rPr>
        <w:t>Sangat Baik</w:t>
      </w:r>
      <w:r>
        <w:rPr>
          <w:rFonts w:hAnsi="Tahoma" w:cs="Tahoma"/>
          <w:color w:val="000000"/>
          <w:sz w:val="24"/>
          <w:szCs w:val="24"/>
        </w:rPr>
        <w:t>”</w:t>
      </w:r>
      <w:r>
        <w:rPr>
          <w:rFonts w:hAnsi="Tahoma" w:cs="Tahoma"/>
          <w:color w:val="000000"/>
          <w:sz w:val="24"/>
          <w:szCs w:val="24"/>
        </w:rPr>
        <w:t xml:space="preserve"> dengan nilai 96,92% untuk sasaran 1, 415% untuk sasaran 2 dan 99,82% untuk sasaran 3. Adapun </w:t>
      </w:r>
      <w:r>
        <w:rPr>
          <w:rFonts w:cs="Aparajita"/>
          <w:sz w:val="24"/>
          <w:szCs w:val="24"/>
        </w:rPr>
        <w:t>capaian rata-</w:t>
      </w:r>
      <w:proofErr w:type="gramStart"/>
      <w:r>
        <w:rPr>
          <w:rFonts w:cs="Aparajita"/>
          <w:sz w:val="24"/>
          <w:szCs w:val="24"/>
        </w:rPr>
        <w:t>rata  (</w:t>
      </w:r>
      <w:proofErr w:type="gramEnd"/>
      <w:r>
        <w:rPr>
          <w:rFonts w:cs="Aparajita"/>
          <w:sz w:val="24"/>
          <w:szCs w:val="24"/>
        </w:rPr>
        <w:t xml:space="preserve">lima) indikator kinerja untuk mengukur keberhasilan/kegagalan pencapaian 3 (tiga) sasaran strategis yang ditetapkan tahun 2018 sebesar 186,67%. </w:t>
      </w:r>
      <w:proofErr w:type="gramStart"/>
      <w:r>
        <w:rPr>
          <w:rFonts w:cs="Aparajita"/>
          <w:sz w:val="24"/>
          <w:szCs w:val="24"/>
        </w:rPr>
        <w:t>Capaian indkator kinerja terendah, yaitu indikator kinerja nilai Evaluasi Akuntabilitas Kinerja untuk mengukur sasaran strategis meningkatnya tata kelola organisasi.</w:t>
      </w:r>
      <w:proofErr w:type="gramEnd"/>
      <w:r>
        <w:rPr>
          <w:rFonts w:cs="Aparajita"/>
          <w:sz w:val="24"/>
          <w:szCs w:val="24"/>
        </w:rPr>
        <w:t xml:space="preserve"> </w:t>
      </w:r>
    </w:p>
    <w:p w:rsidR="007335FD" w:rsidRDefault="00815898">
      <w:pPr>
        <w:spacing w:line="360" w:lineRule="auto"/>
        <w:ind w:left="440" w:firstLineChars="300" w:firstLine="720"/>
        <w:jc w:val="both"/>
        <w:rPr>
          <w:rFonts w:cs="Aparajita"/>
          <w:sz w:val="24"/>
          <w:szCs w:val="24"/>
        </w:rPr>
      </w:pPr>
      <w:r>
        <w:rPr>
          <w:rFonts w:cs="Aparajita"/>
          <w:sz w:val="24"/>
          <w:szCs w:val="24"/>
        </w:rPr>
        <w:t xml:space="preserve">Terhadap berbagai target capaian kinerja yang tercapai, Badan Kesbangpol Provinsi Sumatera Barat harus melakukan langkah-langkah konkrit untuk menganalisis dan mengevaluasi progress capaian kinerja yang dicapai agar dapat dilakukan langkah-langkah perbaikan di masa yang </w:t>
      </w:r>
      <w:proofErr w:type="gramStart"/>
      <w:r>
        <w:rPr>
          <w:rFonts w:cs="Aparajita"/>
          <w:sz w:val="24"/>
          <w:szCs w:val="24"/>
        </w:rPr>
        <w:t>akan</w:t>
      </w:r>
      <w:proofErr w:type="gramEnd"/>
      <w:r>
        <w:rPr>
          <w:rFonts w:cs="Aparajita"/>
          <w:sz w:val="24"/>
          <w:szCs w:val="24"/>
        </w:rPr>
        <w:t xml:space="preserve"> datang terutama untuk indikator Evaluasi Akuntabilitas Kinerja. </w:t>
      </w:r>
      <w:proofErr w:type="gramStart"/>
      <w:r>
        <w:rPr>
          <w:rFonts w:cs="Aparajita"/>
          <w:sz w:val="24"/>
          <w:szCs w:val="24"/>
        </w:rPr>
        <w:t>Setiap aspek yang menjadi penilaian dalam evaluasi Akuntabilitas Kinerja harus menjadi perhatian dalam menyusun dokumen perencanaan.</w:t>
      </w:r>
      <w:proofErr w:type="gramEnd"/>
      <w:r>
        <w:rPr>
          <w:rFonts w:cs="Aparajita"/>
          <w:sz w:val="24"/>
          <w:szCs w:val="24"/>
        </w:rPr>
        <w:t xml:space="preserve"> </w:t>
      </w:r>
      <w:proofErr w:type="gramStart"/>
      <w:r>
        <w:rPr>
          <w:rFonts w:cs="Aparajita"/>
          <w:sz w:val="24"/>
          <w:szCs w:val="24"/>
        </w:rPr>
        <w:t>Selain itu, perlu dilakukan evaluasi dan pemberian reward dan punishment terhadap keberhasilan atau kegagalan pencapaian target kinerja sebagai salah satu upaya mewujudkan akuntabilitas kinerja di lingkungan Badan Kesbangpol Provinsi Sumatera Barat.</w:t>
      </w:r>
      <w:proofErr w:type="gramEnd"/>
    </w:p>
    <w:p w:rsidR="007335FD" w:rsidRDefault="00815898">
      <w:pPr>
        <w:spacing w:line="360" w:lineRule="auto"/>
        <w:ind w:left="440" w:firstLineChars="300" w:firstLine="720"/>
        <w:jc w:val="both"/>
        <w:rPr>
          <w:rFonts w:ascii="Tahoma" w:hAnsi="Tahoma" w:cs="Tahoma"/>
          <w:color w:val="000000"/>
        </w:rPr>
      </w:pPr>
      <w:r>
        <w:rPr>
          <w:rFonts w:hAnsi="Tahoma" w:cs="Tahoma"/>
          <w:color w:val="000000"/>
          <w:sz w:val="24"/>
          <w:szCs w:val="24"/>
        </w:rPr>
        <w:t xml:space="preserve">Jika dibandingkan dengan capaian kinerja sasaran Tahun 2017, terdapat 1 (satu) sasaran yang berkategori </w:t>
      </w:r>
      <w:r>
        <w:rPr>
          <w:rFonts w:hAnsi="Tahoma" w:cs="Tahoma"/>
          <w:color w:val="000000"/>
          <w:sz w:val="24"/>
          <w:szCs w:val="24"/>
        </w:rPr>
        <w:t>“</w:t>
      </w:r>
      <w:r>
        <w:rPr>
          <w:rFonts w:hAnsi="Tahoma" w:cs="Tahoma"/>
          <w:color w:val="000000"/>
          <w:sz w:val="24"/>
          <w:szCs w:val="24"/>
        </w:rPr>
        <w:t>Baik</w:t>
      </w:r>
      <w:r>
        <w:rPr>
          <w:rFonts w:hAnsi="Tahoma" w:cs="Tahoma"/>
          <w:color w:val="000000"/>
          <w:sz w:val="24"/>
          <w:szCs w:val="24"/>
        </w:rPr>
        <w:t>”</w:t>
      </w:r>
      <w:r>
        <w:rPr>
          <w:rFonts w:hAnsi="Tahoma" w:cs="Tahoma"/>
          <w:color w:val="000000"/>
          <w:sz w:val="24"/>
          <w:szCs w:val="24"/>
        </w:rPr>
        <w:t xml:space="preserve">, sedangkan 2 (dua) sasaran berkategori </w:t>
      </w:r>
      <w:r>
        <w:rPr>
          <w:rFonts w:hAnsi="Tahoma" w:cs="Tahoma"/>
          <w:color w:val="000000"/>
          <w:sz w:val="24"/>
          <w:szCs w:val="24"/>
        </w:rPr>
        <w:t>“</w:t>
      </w:r>
      <w:r>
        <w:rPr>
          <w:rFonts w:hAnsi="Tahoma" w:cs="Tahoma"/>
          <w:color w:val="000000"/>
          <w:sz w:val="24"/>
          <w:szCs w:val="24"/>
        </w:rPr>
        <w:t>Sangat Baik</w:t>
      </w:r>
      <w:proofErr w:type="gramStart"/>
      <w:r>
        <w:rPr>
          <w:rFonts w:hAnsi="Tahoma" w:cs="Tahoma"/>
          <w:color w:val="000000"/>
          <w:sz w:val="24"/>
          <w:szCs w:val="24"/>
        </w:rPr>
        <w:t>”</w:t>
      </w:r>
      <w:r>
        <w:rPr>
          <w:rFonts w:hAnsi="Tahoma" w:cs="Tahoma"/>
          <w:color w:val="000000"/>
          <w:sz w:val="24"/>
          <w:szCs w:val="24"/>
        </w:rPr>
        <w:t xml:space="preserve"> .</w:t>
      </w:r>
      <w:proofErr w:type="gramEnd"/>
      <w:r>
        <w:rPr>
          <w:rFonts w:hAnsi="Tahoma" w:cs="Tahoma"/>
          <w:color w:val="000000"/>
          <w:sz w:val="24"/>
          <w:szCs w:val="24"/>
        </w:rPr>
        <w:t xml:space="preserve"> Hasil pengukuran realisasi dan capaian kinerja tahun 2018 dengan 2017 (sesuai sasaran strategis) dapat dilihat pada tabel </w:t>
      </w:r>
      <w:proofErr w:type="gramStart"/>
      <w:r>
        <w:rPr>
          <w:rFonts w:hAnsi="Tahoma" w:cs="Tahoma"/>
          <w:color w:val="000000"/>
          <w:sz w:val="24"/>
          <w:szCs w:val="24"/>
        </w:rPr>
        <w:t xml:space="preserve">berikut </w:t>
      </w:r>
      <w:r>
        <w:rPr>
          <w:rFonts w:ascii="Tahoma" w:hAnsi="Tahoma" w:cs="Tahoma"/>
          <w:color w:val="000000"/>
        </w:rPr>
        <w:t>:</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3.3</w:t>
      </w:r>
    </w:p>
    <w:p w:rsidR="007335FD" w:rsidRDefault="00815898">
      <w:pPr>
        <w:pStyle w:val="NoSpacing"/>
        <w:jc w:val="center"/>
        <w:rPr>
          <w:rFonts w:hAnsi="Berlin Sans FB Demi"/>
          <w:b/>
          <w:bCs/>
          <w:sz w:val="24"/>
          <w:szCs w:val="24"/>
        </w:rPr>
      </w:pPr>
      <w:r>
        <w:rPr>
          <w:rFonts w:hAnsi="Berlin Sans FB Demi"/>
          <w:b/>
          <w:bCs/>
          <w:sz w:val="24"/>
          <w:szCs w:val="24"/>
        </w:rPr>
        <w:t xml:space="preserve">Hasil </w:t>
      </w:r>
      <w:proofErr w:type="gramStart"/>
      <w:r>
        <w:rPr>
          <w:rFonts w:hAnsi="Berlin Sans FB Demi"/>
          <w:b/>
          <w:bCs/>
          <w:sz w:val="24"/>
          <w:szCs w:val="24"/>
        </w:rPr>
        <w:t>Pengukuran  Realisasi</w:t>
      </w:r>
      <w:proofErr w:type="gramEnd"/>
      <w:r>
        <w:rPr>
          <w:rFonts w:hAnsi="Berlin Sans FB Demi"/>
          <w:b/>
          <w:bCs/>
          <w:sz w:val="24"/>
          <w:szCs w:val="24"/>
        </w:rPr>
        <w:t xml:space="preserve"> dan Capaian Kinerja</w:t>
      </w:r>
    </w:p>
    <w:p w:rsidR="007335FD" w:rsidRDefault="00815898">
      <w:pPr>
        <w:pStyle w:val="NoSpacing"/>
        <w:jc w:val="center"/>
        <w:rPr>
          <w:rFonts w:hAnsi="Berlin Sans FB Demi"/>
          <w:b/>
          <w:bCs/>
          <w:sz w:val="24"/>
          <w:szCs w:val="24"/>
        </w:rPr>
      </w:pPr>
      <w:r>
        <w:rPr>
          <w:rFonts w:hAnsi="Berlin Sans FB Demi"/>
          <w:b/>
          <w:bCs/>
          <w:sz w:val="24"/>
          <w:szCs w:val="24"/>
        </w:rPr>
        <w:t xml:space="preserve"> Tahun 2016 s/d 2018</w:t>
      </w:r>
    </w:p>
    <w:p w:rsidR="007335FD" w:rsidRDefault="00815898">
      <w:pPr>
        <w:ind w:left="720"/>
        <w:jc w:val="center"/>
        <w:rPr>
          <w:rFonts w:ascii="Tahoma" w:hAnsi="Tahoma" w:cs="Tahoma"/>
          <w:color w:val="000000"/>
          <w:sz w:val="20"/>
          <w:szCs w:val="20"/>
        </w:rPr>
      </w:pPr>
      <w:r>
        <w:rPr>
          <w:rFonts w:hAnsi="Tahoma" w:cs="Tahoma"/>
          <w:color w:val="000000"/>
          <w:sz w:val="24"/>
          <w:szCs w:val="24"/>
        </w:rPr>
        <w:t xml:space="preserve"> </w:t>
      </w:r>
    </w:p>
    <w:tbl>
      <w:tblPr>
        <w:tblW w:w="8954" w:type="dxa"/>
        <w:jc w:val="center"/>
        <w:tblInd w:w="4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74"/>
        <w:gridCol w:w="1352"/>
        <w:gridCol w:w="1655"/>
        <w:gridCol w:w="967"/>
        <w:gridCol w:w="878"/>
        <w:gridCol w:w="822"/>
        <w:gridCol w:w="833"/>
        <w:gridCol w:w="845"/>
        <w:gridCol w:w="828"/>
      </w:tblGrid>
      <w:tr w:rsidR="007335FD">
        <w:trPr>
          <w:cantSplit/>
          <w:trHeight w:val="321"/>
          <w:jc w:val="center"/>
        </w:trPr>
        <w:tc>
          <w:tcPr>
            <w:tcW w:w="774" w:type="dxa"/>
            <w:vMerge w:val="restart"/>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lang w:val="id-ID"/>
              </w:rPr>
            </w:pPr>
            <w:r>
              <w:rPr>
                <w:rFonts w:hAnsi="Tahoma" w:cs="Tahoma"/>
                <w:b/>
                <w:lang w:val="id-ID"/>
              </w:rPr>
              <w:t>NO.</w:t>
            </w:r>
          </w:p>
        </w:tc>
        <w:tc>
          <w:tcPr>
            <w:tcW w:w="1352" w:type="dxa"/>
            <w:vMerge w:val="restart"/>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lang w:val="id-ID"/>
              </w:rPr>
            </w:pPr>
            <w:r>
              <w:rPr>
                <w:rFonts w:hAnsi="Tahoma" w:cs="Tahoma"/>
                <w:b/>
                <w:lang w:val="id-ID"/>
              </w:rPr>
              <w:t>SASARAN</w:t>
            </w:r>
          </w:p>
        </w:tc>
        <w:tc>
          <w:tcPr>
            <w:tcW w:w="1655" w:type="dxa"/>
            <w:vMerge w:val="restart"/>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lang w:val="id-ID"/>
              </w:rPr>
            </w:pPr>
            <w:r>
              <w:rPr>
                <w:rFonts w:hAnsi="Tahoma" w:cs="Tahoma"/>
                <w:b/>
                <w:lang w:val="id-ID"/>
              </w:rPr>
              <w:t xml:space="preserve">INDIKATOR </w:t>
            </w:r>
            <w:r>
              <w:rPr>
                <w:rFonts w:hAnsi="Tahoma" w:cs="Tahoma"/>
                <w:b/>
                <w:lang w:val="id-ID"/>
              </w:rPr>
              <w:lastRenderedPageBreak/>
              <w:t>KINERJA</w:t>
            </w:r>
          </w:p>
        </w:tc>
        <w:tc>
          <w:tcPr>
            <w:tcW w:w="2667" w:type="dxa"/>
            <w:gridSpan w:val="3"/>
            <w:tcBorders>
              <w:top w:val="single" w:sz="4" w:space="0" w:color="00000A"/>
              <w:left w:val="single" w:sz="4" w:space="0" w:color="00000A"/>
              <w:bottom w:val="single" w:sz="4" w:space="0" w:color="00000A"/>
              <w:right w:val="single" w:sz="4" w:space="0" w:color="00000A"/>
            </w:tcBorders>
            <w:shd w:val="clear" w:color="auto" w:fill="C00000"/>
          </w:tcPr>
          <w:p w:rsidR="007335FD" w:rsidRDefault="00815898">
            <w:pPr>
              <w:spacing w:line="240" w:lineRule="auto"/>
              <w:jc w:val="center"/>
              <w:rPr>
                <w:rFonts w:hAnsi="Tahoma" w:cs="Tahoma"/>
                <w:b/>
              </w:rPr>
            </w:pPr>
            <w:r>
              <w:rPr>
                <w:rFonts w:hAnsi="Tahoma" w:cs="Tahoma"/>
                <w:b/>
              </w:rPr>
              <w:lastRenderedPageBreak/>
              <w:t>% REALISASI KINERJA</w:t>
            </w:r>
          </w:p>
        </w:tc>
        <w:tc>
          <w:tcPr>
            <w:tcW w:w="2506" w:type="dxa"/>
            <w:gridSpan w:val="3"/>
            <w:tcBorders>
              <w:top w:val="single" w:sz="4" w:space="0" w:color="00000A"/>
              <w:left w:val="single" w:sz="4" w:space="0" w:color="00000A"/>
              <w:bottom w:val="single" w:sz="4" w:space="0" w:color="00000A"/>
              <w:right w:val="single" w:sz="4" w:space="0" w:color="00000A"/>
            </w:tcBorders>
            <w:shd w:val="clear" w:color="auto" w:fill="C00000"/>
          </w:tcPr>
          <w:p w:rsidR="007335FD" w:rsidRDefault="00815898">
            <w:pPr>
              <w:spacing w:line="240" w:lineRule="auto"/>
              <w:jc w:val="center"/>
              <w:rPr>
                <w:rFonts w:hAnsi="Tahoma" w:cs="Tahoma"/>
                <w:b/>
              </w:rPr>
            </w:pPr>
            <w:r>
              <w:rPr>
                <w:rFonts w:hAnsi="Tahoma" w:cs="Tahoma"/>
                <w:b/>
                <w:lang w:val="id-ID"/>
              </w:rPr>
              <w:t xml:space="preserve">% CAPAIAN </w:t>
            </w:r>
            <w:r>
              <w:rPr>
                <w:rFonts w:hAnsi="Tahoma" w:cs="Tahoma"/>
                <w:b/>
              </w:rPr>
              <w:t>KINERJA</w:t>
            </w:r>
          </w:p>
        </w:tc>
      </w:tr>
      <w:tr w:rsidR="007335FD">
        <w:trPr>
          <w:cantSplit/>
          <w:trHeight w:val="386"/>
          <w:jc w:val="center"/>
        </w:trPr>
        <w:tc>
          <w:tcPr>
            <w:tcW w:w="774" w:type="dxa"/>
            <w:vMerge/>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7335FD">
            <w:pPr>
              <w:spacing w:line="240" w:lineRule="auto"/>
              <w:jc w:val="center"/>
              <w:rPr>
                <w:rFonts w:hAnsi="Tahoma" w:cs="Tahoma"/>
                <w:b/>
                <w:lang w:val="id-ID"/>
              </w:rPr>
            </w:pPr>
          </w:p>
        </w:tc>
        <w:tc>
          <w:tcPr>
            <w:tcW w:w="1352" w:type="dxa"/>
            <w:vMerge/>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7335FD">
            <w:pPr>
              <w:spacing w:line="240" w:lineRule="auto"/>
              <w:jc w:val="center"/>
              <w:rPr>
                <w:rFonts w:hAnsi="Tahoma" w:cs="Tahoma"/>
                <w:b/>
                <w:lang w:val="id-ID"/>
              </w:rPr>
            </w:pPr>
          </w:p>
        </w:tc>
        <w:tc>
          <w:tcPr>
            <w:tcW w:w="1655" w:type="dxa"/>
            <w:vMerge/>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7335FD">
            <w:pPr>
              <w:spacing w:line="240" w:lineRule="auto"/>
              <w:jc w:val="center"/>
              <w:rPr>
                <w:rFonts w:hAnsi="Tahoma" w:cs="Tahoma"/>
                <w:b/>
                <w:lang w:val="id-ID"/>
              </w:rPr>
            </w:pPr>
          </w:p>
        </w:tc>
        <w:tc>
          <w:tcPr>
            <w:tcW w:w="967"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7335FD">
            <w:pPr>
              <w:spacing w:line="240" w:lineRule="auto"/>
              <w:jc w:val="center"/>
              <w:rPr>
                <w:rFonts w:hAnsi="Tahoma" w:cs="Tahoma"/>
                <w:b/>
              </w:rPr>
            </w:pPr>
          </w:p>
          <w:p w:rsidR="007335FD" w:rsidRDefault="00815898">
            <w:pPr>
              <w:spacing w:line="240" w:lineRule="auto"/>
              <w:jc w:val="center"/>
              <w:rPr>
                <w:rFonts w:hAnsi="Tahoma" w:cs="Tahoma"/>
                <w:b/>
              </w:rPr>
            </w:pPr>
            <w:r>
              <w:rPr>
                <w:rFonts w:hAnsi="Tahoma" w:cs="Tahoma"/>
                <w:b/>
              </w:rPr>
              <w:t>2016</w:t>
            </w:r>
          </w:p>
        </w:tc>
        <w:tc>
          <w:tcPr>
            <w:tcW w:w="878"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rPr>
            </w:pPr>
            <w:r>
              <w:rPr>
                <w:rFonts w:hAnsi="Tahoma" w:cs="Tahoma"/>
                <w:b/>
              </w:rPr>
              <w:t>2017</w:t>
            </w:r>
          </w:p>
        </w:tc>
        <w:tc>
          <w:tcPr>
            <w:tcW w:w="822"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rPr>
            </w:pPr>
            <w:r>
              <w:rPr>
                <w:rFonts w:hAnsi="Tahoma" w:cs="Tahoma"/>
                <w:b/>
              </w:rPr>
              <w:t>2018</w:t>
            </w:r>
          </w:p>
        </w:tc>
        <w:tc>
          <w:tcPr>
            <w:tcW w:w="833"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7335FD">
            <w:pPr>
              <w:spacing w:line="240" w:lineRule="auto"/>
              <w:jc w:val="center"/>
              <w:rPr>
                <w:rFonts w:hAnsi="Tahoma" w:cs="Tahoma"/>
                <w:b/>
              </w:rPr>
            </w:pPr>
          </w:p>
          <w:p w:rsidR="007335FD" w:rsidRDefault="00815898">
            <w:pPr>
              <w:spacing w:line="240" w:lineRule="auto"/>
              <w:jc w:val="center"/>
              <w:rPr>
                <w:rFonts w:hAnsi="Tahoma" w:cs="Tahoma"/>
                <w:b/>
              </w:rPr>
            </w:pPr>
            <w:r>
              <w:rPr>
                <w:rFonts w:hAnsi="Tahoma" w:cs="Tahoma"/>
                <w:b/>
              </w:rPr>
              <w:t>2016</w:t>
            </w:r>
          </w:p>
          <w:p w:rsidR="007335FD" w:rsidRDefault="007335FD">
            <w:pPr>
              <w:spacing w:line="240" w:lineRule="auto"/>
              <w:jc w:val="center"/>
              <w:rPr>
                <w:rFonts w:hAnsi="Tahoma" w:cs="Tahoma"/>
                <w:b/>
              </w:rPr>
            </w:pPr>
          </w:p>
        </w:tc>
        <w:tc>
          <w:tcPr>
            <w:tcW w:w="845"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rPr>
            </w:pPr>
            <w:r>
              <w:rPr>
                <w:rFonts w:hAnsi="Tahoma" w:cs="Tahoma"/>
                <w:b/>
              </w:rPr>
              <w:t>2017</w:t>
            </w:r>
          </w:p>
        </w:tc>
        <w:tc>
          <w:tcPr>
            <w:tcW w:w="828"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vAlign w:val="center"/>
          </w:tcPr>
          <w:p w:rsidR="007335FD" w:rsidRDefault="00815898">
            <w:pPr>
              <w:spacing w:line="240" w:lineRule="auto"/>
              <w:jc w:val="center"/>
              <w:rPr>
                <w:rFonts w:hAnsi="Tahoma" w:cs="Tahoma"/>
                <w:b/>
              </w:rPr>
            </w:pPr>
            <w:r>
              <w:rPr>
                <w:rFonts w:hAnsi="Tahoma" w:cs="Tahoma"/>
                <w:b/>
              </w:rPr>
              <w:t>2018</w:t>
            </w:r>
          </w:p>
        </w:tc>
      </w:tr>
      <w:tr w:rsidR="007335FD">
        <w:trPr>
          <w:cantSplit/>
          <w:trHeight w:val="217"/>
          <w:jc w:val="center"/>
        </w:trPr>
        <w:tc>
          <w:tcPr>
            <w:tcW w:w="774"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lang w:val="id-ID"/>
              </w:rPr>
            </w:pPr>
            <w:r>
              <w:rPr>
                <w:rFonts w:hAnsi="Tahoma" w:cs="Tahoma"/>
                <w:lang w:val="id-ID"/>
              </w:rPr>
              <w:lastRenderedPageBreak/>
              <w:t>1</w:t>
            </w:r>
          </w:p>
        </w:tc>
        <w:tc>
          <w:tcPr>
            <w:tcW w:w="1352"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lang w:val="id-ID"/>
              </w:rPr>
            </w:pPr>
            <w:r>
              <w:rPr>
                <w:rFonts w:hAnsi="Tahoma" w:cs="Tahoma"/>
                <w:lang w:val="id-ID"/>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lang w:val="id-ID"/>
              </w:rPr>
            </w:pPr>
            <w:r>
              <w:rPr>
                <w:rFonts w:hAnsi="Tahoma" w:cs="Tahoma"/>
                <w:lang w:val="id-ID"/>
              </w:rPr>
              <w:t>3</w:t>
            </w:r>
          </w:p>
        </w:tc>
        <w:tc>
          <w:tcPr>
            <w:tcW w:w="967"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rPr>
            </w:pPr>
            <w:r>
              <w:rPr>
                <w:rFonts w:hAnsi="Tahoma" w:cs="Tahoma"/>
              </w:rPr>
              <w:t>4</w:t>
            </w:r>
          </w:p>
        </w:tc>
        <w:tc>
          <w:tcPr>
            <w:tcW w:w="878"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rPr>
            </w:pPr>
            <w:r>
              <w:rPr>
                <w:rFonts w:hAnsi="Tahoma" w:cs="Tahoma"/>
              </w:rPr>
              <w:t>5</w:t>
            </w:r>
          </w:p>
        </w:tc>
        <w:tc>
          <w:tcPr>
            <w:tcW w:w="822"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rPr>
            </w:pPr>
            <w:r>
              <w:rPr>
                <w:rFonts w:hAnsi="Tahoma" w:cs="Tahoma"/>
              </w:rPr>
              <w:t>6</w:t>
            </w:r>
          </w:p>
        </w:tc>
        <w:tc>
          <w:tcPr>
            <w:tcW w:w="833"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rPr>
            </w:pPr>
            <w:r>
              <w:rPr>
                <w:rFonts w:hAnsi="Tahoma" w:cs="Tahoma"/>
              </w:rPr>
              <w:t>7</w:t>
            </w:r>
          </w:p>
        </w:tc>
        <w:tc>
          <w:tcPr>
            <w:tcW w:w="845"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rPr>
            </w:pPr>
            <w:r>
              <w:rPr>
                <w:rFonts w:hAnsi="Tahoma" w:cs="Tahoma"/>
              </w:rPr>
              <w:t>8</w:t>
            </w:r>
          </w:p>
        </w:tc>
        <w:tc>
          <w:tcPr>
            <w:tcW w:w="828" w:type="dxa"/>
            <w:tcBorders>
              <w:top w:val="single" w:sz="4" w:space="0" w:color="00000A"/>
              <w:left w:val="single" w:sz="4" w:space="0" w:color="00000A"/>
              <w:bottom w:val="single" w:sz="4" w:space="0" w:color="00000A"/>
              <w:right w:val="single" w:sz="4" w:space="0" w:color="00000A"/>
            </w:tcBorders>
            <w:shd w:val="clear" w:color="auto" w:fill="C00000"/>
            <w:tcMar>
              <w:left w:w="103" w:type="dxa"/>
            </w:tcMar>
          </w:tcPr>
          <w:p w:rsidR="007335FD" w:rsidRDefault="00815898">
            <w:pPr>
              <w:spacing w:line="240" w:lineRule="auto"/>
              <w:jc w:val="center"/>
              <w:rPr>
                <w:rFonts w:hAnsi="Tahoma" w:cs="Tahoma"/>
              </w:rPr>
            </w:pPr>
            <w:r>
              <w:rPr>
                <w:rFonts w:hAnsi="Tahoma" w:cs="Tahoma"/>
              </w:rPr>
              <w:t>9</w:t>
            </w:r>
          </w:p>
        </w:tc>
      </w:tr>
      <w:tr w:rsidR="007335FD">
        <w:trPr>
          <w:cantSplit/>
          <w:trHeight w:val="3060"/>
          <w:jc w:val="center"/>
        </w:trPr>
        <w:tc>
          <w:tcPr>
            <w:tcW w:w="774"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color w:val="000000"/>
              </w:rPr>
            </w:pPr>
            <w:r>
              <w:rPr>
                <w:rFonts w:hAnsi="Tahoma" w:cs="Tahoma"/>
                <w:color w:val="000000"/>
              </w:rPr>
              <w:t>1</w:t>
            </w:r>
          </w:p>
        </w:tc>
        <w:tc>
          <w:tcPr>
            <w:tcW w:w="1352"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rPr>
                <w:rFonts w:hAnsi="Tahoma" w:cs="Tahoma"/>
                <w:color w:val="000000"/>
              </w:rPr>
            </w:pPr>
            <w:r>
              <w:rPr>
                <w:color w:val="000000" w:themeColor="text1"/>
              </w:rPr>
              <w:t>Meningkat-nya tata kelola organisasi</w:t>
            </w:r>
          </w:p>
        </w:tc>
        <w:tc>
          <w:tcPr>
            <w:tcW w:w="1655"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pStyle w:val="NoSpacing"/>
              <w:numPr>
                <w:ilvl w:val="0"/>
                <w:numId w:val="24"/>
              </w:numPr>
              <w:tabs>
                <w:tab w:val="clear" w:pos="425"/>
              </w:tabs>
              <w:ind w:leftChars="5" w:left="235" w:hanging="224"/>
              <w:jc w:val="left"/>
              <w:rPr>
                <w:rFonts w:hAnsi="Tahoma" w:cs="Tahoma"/>
                <w:sz w:val="22"/>
                <w:szCs w:val="22"/>
                <w:lang w:val="id-ID"/>
              </w:rPr>
            </w:pPr>
            <w:r>
              <w:rPr>
                <w:color w:val="000000" w:themeColor="text1"/>
                <w:sz w:val="22"/>
                <w:szCs w:val="22"/>
              </w:rPr>
              <w:t>Nilai Evaluasi Akuntabilitas Kinerja</w:t>
            </w:r>
          </w:p>
          <w:p w:rsidR="007335FD" w:rsidRDefault="007335FD" w:rsidP="00815898">
            <w:pPr>
              <w:pStyle w:val="NoSpacing"/>
              <w:ind w:leftChars="5" w:left="11"/>
              <w:jc w:val="left"/>
              <w:rPr>
                <w:rFonts w:hAnsi="Tahoma" w:cs="Tahoma"/>
                <w:sz w:val="22"/>
                <w:szCs w:val="22"/>
                <w:lang w:val="id-ID"/>
              </w:rPr>
            </w:pPr>
          </w:p>
          <w:p w:rsidR="007335FD" w:rsidRDefault="007335FD" w:rsidP="00815898">
            <w:pPr>
              <w:pStyle w:val="NoSpacing"/>
              <w:ind w:leftChars="5" w:left="11"/>
              <w:jc w:val="left"/>
              <w:rPr>
                <w:rFonts w:hAnsi="Tahoma" w:cs="Tahoma"/>
                <w:sz w:val="22"/>
                <w:szCs w:val="22"/>
                <w:lang w:val="id-ID"/>
              </w:rPr>
            </w:pPr>
          </w:p>
          <w:p w:rsidR="007335FD" w:rsidRDefault="00815898">
            <w:pPr>
              <w:pStyle w:val="NoSpacing"/>
              <w:numPr>
                <w:ilvl w:val="0"/>
                <w:numId w:val="24"/>
              </w:numPr>
              <w:tabs>
                <w:tab w:val="clear" w:pos="425"/>
              </w:tabs>
              <w:ind w:leftChars="5" w:left="235" w:hanging="224"/>
              <w:jc w:val="left"/>
              <w:rPr>
                <w:rFonts w:hAnsi="Tahoma" w:cs="Tahoma"/>
                <w:sz w:val="22"/>
                <w:szCs w:val="22"/>
                <w:lang w:val="id-ID"/>
              </w:rPr>
            </w:pPr>
            <w:r>
              <w:rPr>
                <w:color w:val="000000" w:themeColor="text1"/>
                <w:sz w:val="22"/>
                <w:szCs w:val="22"/>
              </w:rPr>
              <w:t>Persentase capaian realisasi fisik dan keuangan pelaksanaan program/</w:t>
            </w:r>
          </w:p>
          <w:p w:rsidR="007335FD" w:rsidRDefault="00815898">
            <w:pPr>
              <w:pStyle w:val="NoSpacing"/>
              <w:ind w:leftChars="100" w:left="220"/>
              <w:jc w:val="left"/>
              <w:rPr>
                <w:color w:val="000000" w:themeColor="text1"/>
                <w:sz w:val="22"/>
                <w:szCs w:val="22"/>
              </w:rPr>
            </w:pPr>
            <w:r>
              <w:rPr>
                <w:color w:val="000000" w:themeColor="text1"/>
                <w:sz w:val="22"/>
                <w:szCs w:val="22"/>
              </w:rPr>
              <w:t>Kegiatan</w:t>
            </w:r>
          </w:p>
          <w:p w:rsidR="007335FD" w:rsidRDefault="007335FD">
            <w:pPr>
              <w:pStyle w:val="NoSpacing"/>
              <w:ind w:leftChars="100" w:left="220"/>
              <w:jc w:val="left"/>
              <w:rPr>
                <w:color w:val="000000" w:themeColor="text1"/>
                <w:sz w:val="22"/>
                <w:szCs w:val="22"/>
                <w:lang w:val="id-ID"/>
              </w:rPr>
            </w:pPr>
          </w:p>
        </w:tc>
        <w:tc>
          <w:tcPr>
            <w:tcW w:w="96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B</w:t>
            </w:r>
          </w:p>
          <w:p w:rsidR="007335FD" w:rsidRDefault="00815898">
            <w:pPr>
              <w:spacing w:line="240" w:lineRule="auto"/>
              <w:jc w:val="center"/>
              <w:rPr>
                <w:rFonts w:hAnsi="Tahoma" w:cs="Tahoma"/>
                <w:sz w:val="20"/>
                <w:szCs w:val="20"/>
              </w:rPr>
            </w:pPr>
            <w:r>
              <w:rPr>
                <w:rFonts w:hAnsi="Tahoma" w:cs="Tahoma"/>
                <w:sz w:val="20"/>
                <w:szCs w:val="20"/>
              </w:rPr>
              <w:t>(61,35)</w:t>
            </w: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96,61</w:t>
            </w:r>
          </w:p>
          <w:p w:rsidR="007335FD" w:rsidRDefault="00815898">
            <w:pPr>
              <w:spacing w:line="240" w:lineRule="auto"/>
              <w:jc w:val="center"/>
              <w:rPr>
                <w:rFonts w:hAnsi="Tahoma" w:cs="Tahoma"/>
                <w:sz w:val="20"/>
                <w:szCs w:val="20"/>
              </w:rPr>
            </w:pPr>
            <w:r>
              <w:rPr>
                <w:rFonts w:hAnsi="Tahoma" w:cs="Tahoma"/>
                <w:sz w:val="20"/>
                <w:szCs w:val="20"/>
              </w:rPr>
              <w:t>(fisik)</w:t>
            </w:r>
          </w:p>
          <w:p w:rsidR="007335FD" w:rsidRDefault="00815898">
            <w:pPr>
              <w:spacing w:line="240" w:lineRule="auto"/>
              <w:jc w:val="center"/>
              <w:rPr>
                <w:rFonts w:hAnsi="Tahoma" w:cs="Tahoma"/>
                <w:sz w:val="20"/>
                <w:szCs w:val="20"/>
              </w:rPr>
            </w:pPr>
            <w:r>
              <w:rPr>
                <w:rFonts w:hAnsi="Tahoma" w:cs="Tahoma"/>
                <w:sz w:val="20"/>
                <w:szCs w:val="20"/>
              </w:rPr>
              <w:t>92,17</w:t>
            </w:r>
          </w:p>
          <w:p w:rsidR="007335FD" w:rsidRDefault="00815898">
            <w:pPr>
              <w:spacing w:line="240" w:lineRule="auto"/>
              <w:jc w:val="center"/>
              <w:rPr>
                <w:rFonts w:hAnsi="Tahoma" w:cs="Tahoma"/>
                <w:sz w:val="20"/>
                <w:szCs w:val="20"/>
              </w:rPr>
            </w:pPr>
            <w:r>
              <w:rPr>
                <w:rFonts w:hAnsi="Tahoma" w:cs="Tahoma"/>
                <w:sz w:val="20"/>
                <w:szCs w:val="20"/>
              </w:rPr>
              <w:t>(keu)</w:t>
            </w:r>
          </w:p>
        </w:tc>
        <w:tc>
          <w:tcPr>
            <w:tcW w:w="878"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B</w:t>
            </w:r>
          </w:p>
          <w:p w:rsidR="007335FD" w:rsidRDefault="00815898">
            <w:pPr>
              <w:spacing w:line="240" w:lineRule="auto"/>
              <w:jc w:val="center"/>
              <w:rPr>
                <w:rFonts w:hAnsi="Tahoma" w:cs="Tahoma"/>
                <w:sz w:val="20"/>
                <w:szCs w:val="20"/>
              </w:rPr>
            </w:pPr>
            <w:r>
              <w:rPr>
                <w:rFonts w:hAnsi="Tahoma" w:cs="Tahoma"/>
                <w:sz w:val="20"/>
                <w:szCs w:val="20"/>
              </w:rPr>
              <w:t>(60,92)</w:t>
            </w: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99,80</w:t>
            </w:r>
          </w:p>
          <w:p w:rsidR="007335FD" w:rsidRDefault="00815898">
            <w:pPr>
              <w:spacing w:line="240" w:lineRule="auto"/>
              <w:jc w:val="center"/>
              <w:rPr>
                <w:rFonts w:hAnsi="Tahoma" w:cs="Tahoma"/>
                <w:sz w:val="20"/>
                <w:szCs w:val="20"/>
              </w:rPr>
            </w:pPr>
            <w:r>
              <w:rPr>
                <w:rFonts w:hAnsi="Tahoma" w:cs="Tahoma"/>
                <w:sz w:val="20"/>
                <w:szCs w:val="20"/>
              </w:rPr>
              <w:t>(fisik)</w:t>
            </w:r>
          </w:p>
          <w:p w:rsidR="007335FD" w:rsidRDefault="00815898">
            <w:pPr>
              <w:spacing w:line="240" w:lineRule="auto"/>
              <w:jc w:val="center"/>
              <w:rPr>
                <w:rFonts w:hAnsi="Tahoma" w:cs="Tahoma"/>
                <w:sz w:val="20"/>
                <w:szCs w:val="20"/>
              </w:rPr>
            </w:pPr>
            <w:r>
              <w:rPr>
                <w:rFonts w:hAnsi="Tahoma" w:cs="Tahoma"/>
                <w:sz w:val="20"/>
                <w:szCs w:val="20"/>
              </w:rPr>
              <w:t>91,56</w:t>
            </w:r>
          </w:p>
          <w:p w:rsidR="007335FD" w:rsidRDefault="00815898">
            <w:pPr>
              <w:spacing w:line="240" w:lineRule="auto"/>
              <w:jc w:val="center"/>
              <w:rPr>
                <w:rFonts w:hAnsi="Tahoma" w:cs="Tahoma"/>
                <w:sz w:val="20"/>
                <w:szCs w:val="20"/>
              </w:rPr>
            </w:pPr>
            <w:r>
              <w:rPr>
                <w:rFonts w:hAnsi="Tahoma" w:cs="Tahoma"/>
                <w:sz w:val="20"/>
                <w:szCs w:val="20"/>
              </w:rPr>
              <w:t>(keu)</w:t>
            </w:r>
          </w:p>
        </w:tc>
        <w:tc>
          <w:tcPr>
            <w:tcW w:w="822"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B</w:t>
            </w:r>
          </w:p>
          <w:p w:rsidR="007335FD" w:rsidRDefault="00815898">
            <w:pPr>
              <w:spacing w:line="240" w:lineRule="auto"/>
              <w:jc w:val="center"/>
              <w:rPr>
                <w:rFonts w:cs="Aparajita"/>
                <w:sz w:val="20"/>
                <w:szCs w:val="20"/>
              </w:rPr>
            </w:pPr>
            <w:r>
              <w:rPr>
                <w:rFonts w:cs="Aparajita"/>
                <w:sz w:val="20"/>
                <w:szCs w:val="20"/>
              </w:rPr>
              <w:t>(62,50)</w:t>
            </w:r>
          </w:p>
          <w:p w:rsidR="007335FD" w:rsidRDefault="007335FD">
            <w:pPr>
              <w:spacing w:line="240" w:lineRule="auto"/>
              <w:jc w:val="center"/>
              <w:rPr>
                <w:rFonts w:cs="Aparajita"/>
                <w:sz w:val="20"/>
                <w:szCs w:val="20"/>
              </w:rPr>
            </w:pPr>
          </w:p>
          <w:p w:rsidR="007335FD" w:rsidRDefault="00815898">
            <w:pPr>
              <w:spacing w:line="240" w:lineRule="auto"/>
              <w:jc w:val="center"/>
              <w:rPr>
                <w:rFonts w:cs="Aparajita"/>
                <w:sz w:val="20"/>
                <w:szCs w:val="20"/>
              </w:rPr>
            </w:pPr>
            <w:r>
              <w:rPr>
                <w:rFonts w:cs="Aparajita"/>
                <w:sz w:val="20"/>
                <w:szCs w:val="20"/>
              </w:rPr>
              <w:t>99,81</w:t>
            </w:r>
          </w:p>
          <w:p w:rsidR="007335FD" w:rsidRDefault="00815898">
            <w:pPr>
              <w:spacing w:line="240" w:lineRule="auto"/>
              <w:jc w:val="center"/>
              <w:rPr>
                <w:rFonts w:cs="Aparajita"/>
                <w:sz w:val="20"/>
                <w:szCs w:val="20"/>
              </w:rPr>
            </w:pPr>
            <w:r>
              <w:rPr>
                <w:rFonts w:cs="Aparajita"/>
                <w:sz w:val="20"/>
                <w:szCs w:val="20"/>
              </w:rPr>
              <w:t>(fisik)</w:t>
            </w:r>
          </w:p>
          <w:p w:rsidR="007335FD" w:rsidRDefault="00815898">
            <w:pPr>
              <w:spacing w:line="240" w:lineRule="auto"/>
              <w:jc w:val="center"/>
              <w:rPr>
                <w:rFonts w:cs="Aparajita"/>
                <w:sz w:val="20"/>
                <w:szCs w:val="20"/>
              </w:rPr>
            </w:pPr>
            <w:r>
              <w:rPr>
                <w:rFonts w:cs="Aparajita"/>
                <w:sz w:val="20"/>
                <w:szCs w:val="20"/>
              </w:rPr>
              <w:t>96,19</w:t>
            </w:r>
          </w:p>
          <w:p w:rsidR="007335FD" w:rsidRDefault="00815898">
            <w:pPr>
              <w:spacing w:line="240" w:lineRule="auto"/>
              <w:jc w:val="center"/>
              <w:rPr>
                <w:rFonts w:cs="Aparajita"/>
                <w:sz w:val="20"/>
                <w:szCs w:val="20"/>
              </w:rPr>
            </w:pPr>
            <w:r>
              <w:rPr>
                <w:rFonts w:cs="Aparajita"/>
                <w:sz w:val="20"/>
                <w:szCs w:val="20"/>
              </w:rPr>
              <w:t>(keu)</w:t>
            </w:r>
          </w:p>
        </w:tc>
        <w:tc>
          <w:tcPr>
            <w:tcW w:w="833"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B</w:t>
            </w:r>
          </w:p>
          <w:p w:rsidR="007335FD" w:rsidRDefault="00815898">
            <w:pPr>
              <w:spacing w:line="240" w:lineRule="auto"/>
              <w:jc w:val="center"/>
              <w:rPr>
                <w:rFonts w:hAnsi="Tahoma" w:cs="Tahoma"/>
                <w:sz w:val="20"/>
                <w:szCs w:val="20"/>
              </w:rPr>
            </w:pPr>
            <w:r>
              <w:rPr>
                <w:rFonts w:hAnsi="Tahoma" w:cs="Tahoma"/>
                <w:sz w:val="20"/>
                <w:szCs w:val="20"/>
              </w:rPr>
              <w:t>(86,41)</w:t>
            </w: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101,7</w:t>
            </w:r>
          </w:p>
          <w:p w:rsidR="007335FD" w:rsidRDefault="00815898">
            <w:pPr>
              <w:spacing w:line="240" w:lineRule="auto"/>
              <w:jc w:val="center"/>
              <w:rPr>
                <w:rFonts w:cs="Aparajita"/>
                <w:sz w:val="20"/>
                <w:szCs w:val="20"/>
              </w:rPr>
            </w:pPr>
            <w:r>
              <w:rPr>
                <w:rFonts w:cs="Aparajita"/>
                <w:sz w:val="20"/>
                <w:szCs w:val="20"/>
              </w:rPr>
              <w:t>(fisik)</w:t>
            </w:r>
          </w:p>
          <w:p w:rsidR="007335FD" w:rsidRDefault="00815898">
            <w:pPr>
              <w:spacing w:line="240" w:lineRule="auto"/>
              <w:jc w:val="center"/>
              <w:rPr>
                <w:rFonts w:cs="Aparajita"/>
                <w:sz w:val="20"/>
                <w:szCs w:val="20"/>
              </w:rPr>
            </w:pPr>
            <w:r>
              <w:rPr>
                <w:rFonts w:cs="Aparajita"/>
                <w:sz w:val="20"/>
                <w:szCs w:val="20"/>
              </w:rPr>
              <w:t>97,02</w:t>
            </w:r>
          </w:p>
          <w:p w:rsidR="007335FD" w:rsidRDefault="00815898">
            <w:pPr>
              <w:spacing w:line="240" w:lineRule="auto"/>
              <w:jc w:val="center"/>
              <w:rPr>
                <w:rFonts w:cs="Aparajita"/>
                <w:sz w:val="20"/>
                <w:szCs w:val="20"/>
              </w:rPr>
            </w:pPr>
            <w:r>
              <w:rPr>
                <w:rFonts w:cs="Aparajita"/>
                <w:sz w:val="20"/>
                <w:szCs w:val="20"/>
              </w:rPr>
              <w:t>(keu)</w:t>
            </w:r>
          </w:p>
        </w:tc>
        <w:tc>
          <w:tcPr>
            <w:tcW w:w="845"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B</w:t>
            </w:r>
          </w:p>
          <w:p w:rsidR="007335FD" w:rsidRDefault="00815898">
            <w:pPr>
              <w:spacing w:line="240" w:lineRule="auto"/>
              <w:jc w:val="center"/>
              <w:rPr>
                <w:rFonts w:hAnsi="Tahoma" w:cs="Tahoma"/>
                <w:sz w:val="20"/>
                <w:szCs w:val="20"/>
              </w:rPr>
            </w:pPr>
            <w:r>
              <w:rPr>
                <w:rFonts w:hAnsi="Tahoma" w:cs="Tahoma"/>
                <w:sz w:val="20"/>
                <w:szCs w:val="20"/>
              </w:rPr>
              <w:t>(84,61)</w:t>
            </w: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105,05</w:t>
            </w:r>
          </w:p>
          <w:p w:rsidR="007335FD" w:rsidRDefault="00815898">
            <w:pPr>
              <w:spacing w:line="240" w:lineRule="auto"/>
              <w:jc w:val="center"/>
              <w:rPr>
                <w:rFonts w:cs="Aparajita"/>
                <w:sz w:val="20"/>
                <w:szCs w:val="20"/>
              </w:rPr>
            </w:pPr>
            <w:r>
              <w:rPr>
                <w:rFonts w:cs="Aparajita"/>
                <w:sz w:val="20"/>
                <w:szCs w:val="20"/>
              </w:rPr>
              <w:t>(fisik)</w:t>
            </w:r>
          </w:p>
          <w:p w:rsidR="007335FD" w:rsidRDefault="00815898">
            <w:pPr>
              <w:spacing w:line="240" w:lineRule="auto"/>
              <w:jc w:val="center"/>
              <w:rPr>
                <w:rFonts w:cs="Aparajita"/>
                <w:sz w:val="20"/>
                <w:szCs w:val="20"/>
              </w:rPr>
            </w:pPr>
            <w:r>
              <w:rPr>
                <w:rFonts w:cs="Aparajita"/>
                <w:sz w:val="20"/>
                <w:szCs w:val="20"/>
              </w:rPr>
              <w:t>96,38</w:t>
            </w:r>
          </w:p>
          <w:p w:rsidR="007335FD" w:rsidRDefault="00815898">
            <w:pPr>
              <w:spacing w:line="240" w:lineRule="auto"/>
              <w:jc w:val="center"/>
              <w:rPr>
                <w:rFonts w:cs="Aparajita"/>
                <w:sz w:val="20"/>
                <w:szCs w:val="20"/>
              </w:rPr>
            </w:pPr>
            <w:r>
              <w:rPr>
                <w:rFonts w:cs="Aparajita"/>
                <w:sz w:val="20"/>
                <w:szCs w:val="20"/>
              </w:rPr>
              <w:t>(keu)</w:t>
            </w:r>
          </w:p>
        </w:tc>
        <w:tc>
          <w:tcPr>
            <w:tcW w:w="828"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B</w:t>
            </w:r>
          </w:p>
          <w:p w:rsidR="007335FD" w:rsidRDefault="00815898">
            <w:pPr>
              <w:spacing w:line="240" w:lineRule="auto"/>
              <w:jc w:val="center"/>
              <w:rPr>
                <w:rFonts w:hAnsi="Tahoma" w:cs="Tahoma"/>
                <w:sz w:val="20"/>
                <w:szCs w:val="20"/>
              </w:rPr>
            </w:pPr>
            <w:r>
              <w:rPr>
                <w:rFonts w:hAnsi="Tahoma" w:cs="Tahoma"/>
                <w:sz w:val="20"/>
                <w:szCs w:val="20"/>
              </w:rPr>
              <w:t>(84,45)</w:t>
            </w: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105,06</w:t>
            </w:r>
          </w:p>
          <w:p w:rsidR="007335FD" w:rsidRDefault="00815898">
            <w:pPr>
              <w:spacing w:line="240" w:lineRule="auto"/>
              <w:jc w:val="center"/>
              <w:rPr>
                <w:rFonts w:cs="Aparajita"/>
                <w:sz w:val="20"/>
                <w:szCs w:val="20"/>
              </w:rPr>
            </w:pPr>
            <w:r>
              <w:rPr>
                <w:rFonts w:cs="Aparajita"/>
                <w:sz w:val="20"/>
                <w:szCs w:val="20"/>
              </w:rPr>
              <w:t>(fisik)</w:t>
            </w:r>
          </w:p>
          <w:p w:rsidR="007335FD" w:rsidRDefault="00815898">
            <w:pPr>
              <w:spacing w:line="240" w:lineRule="auto"/>
              <w:jc w:val="center"/>
              <w:rPr>
                <w:rFonts w:cs="Aparajita"/>
                <w:sz w:val="20"/>
                <w:szCs w:val="20"/>
              </w:rPr>
            </w:pPr>
            <w:r>
              <w:rPr>
                <w:rFonts w:cs="Aparajita"/>
                <w:sz w:val="20"/>
                <w:szCs w:val="20"/>
              </w:rPr>
              <w:t>101,25</w:t>
            </w:r>
          </w:p>
          <w:p w:rsidR="007335FD" w:rsidRDefault="00815898">
            <w:pPr>
              <w:spacing w:line="240" w:lineRule="auto"/>
              <w:jc w:val="center"/>
              <w:rPr>
                <w:rFonts w:cs="Aparajita"/>
                <w:sz w:val="20"/>
                <w:szCs w:val="20"/>
              </w:rPr>
            </w:pPr>
            <w:r>
              <w:rPr>
                <w:rFonts w:cs="Aparajita"/>
                <w:sz w:val="20"/>
                <w:szCs w:val="20"/>
              </w:rPr>
              <w:t>(keu)</w:t>
            </w:r>
          </w:p>
        </w:tc>
      </w:tr>
      <w:tr w:rsidR="007335FD">
        <w:trPr>
          <w:cantSplit/>
          <w:trHeight w:val="2484"/>
          <w:jc w:val="center"/>
        </w:trPr>
        <w:tc>
          <w:tcPr>
            <w:tcW w:w="774"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color w:val="000000"/>
              </w:rPr>
            </w:pPr>
            <w:r>
              <w:rPr>
                <w:rFonts w:hAnsi="Tahoma" w:cs="Tahoma"/>
                <w:color w:val="000000"/>
              </w:rPr>
              <w:t>2</w:t>
            </w:r>
          </w:p>
        </w:tc>
        <w:tc>
          <w:tcPr>
            <w:tcW w:w="1352"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pStyle w:val="NoSpacing"/>
              <w:jc w:val="left"/>
              <w:rPr>
                <w:color w:val="000000" w:themeColor="text1"/>
                <w:sz w:val="22"/>
                <w:szCs w:val="22"/>
              </w:rPr>
            </w:pPr>
            <w:r>
              <w:rPr>
                <w:color w:val="000000" w:themeColor="text1"/>
                <w:sz w:val="22"/>
                <w:szCs w:val="22"/>
              </w:rPr>
              <w:t>Meningkat-nya keamanan, ketentra-man dan ketertiban masyarakat</w:t>
            </w:r>
          </w:p>
          <w:p w:rsidR="007335FD" w:rsidRDefault="007335FD">
            <w:pPr>
              <w:spacing w:line="240" w:lineRule="auto"/>
              <w:rPr>
                <w:rFonts w:hAnsi="Tahoma" w:cs="Tahoma"/>
                <w:color w:val="000000"/>
              </w:rPr>
            </w:pPr>
          </w:p>
        </w:tc>
        <w:tc>
          <w:tcPr>
            <w:tcW w:w="1655"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pStyle w:val="NoSpacing"/>
              <w:numPr>
                <w:ilvl w:val="0"/>
                <w:numId w:val="25"/>
              </w:numPr>
              <w:ind w:left="198" w:hangingChars="90" w:hanging="198"/>
              <w:jc w:val="left"/>
              <w:rPr>
                <w:color w:val="000000" w:themeColor="text1"/>
                <w:sz w:val="22"/>
                <w:szCs w:val="22"/>
              </w:rPr>
            </w:pPr>
            <w:r>
              <w:rPr>
                <w:color w:val="000000" w:themeColor="text1"/>
                <w:sz w:val="22"/>
                <w:szCs w:val="22"/>
              </w:rPr>
              <w:t>Persentase penurunan konflik sosial di Sumbar</w:t>
            </w:r>
          </w:p>
          <w:p w:rsidR="007335FD" w:rsidRDefault="007335FD" w:rsidP="00815898">
            <w:pPr>
              <w:pStyle w:val="NoSpacing"/>
              <w:ind w:leftChars="-90" w:left="-198"/>
              <w:jc w:val="left"/>
              <w:rPr>
                <w:color w:val="000000" w:themeColor="text1"/>
                <w:sz w:val="22"/>
                <w:szCs w:val="22"/>
              </w:rPr>
            </w:pPr>
          </w:p>
          <w:p w:rsidR="007335FD" w:rsidRDefault="00815898">
            <w:pPr>
              <w:pStyle w:val="ListParagraph"/>
              <w:numPr>
                <w:ilvl w:val="0"/>
                <w:numId w:val="25"/>
              </w:numPr>
              <w:spacing w:line="240" w:lineRule="auto"/>
              <w:ind w:left="198" w:hangingChars="90" w:hanging="198"/>
              <w:rPr>
                <w:rFonts w:hAnsi="Tahoma" w:cs="Tahoma"/>
              </w:rPr>
            </w:pPr>
            <w:r>
              <w:rPr>
                <w:color w:val="000000" w:themeColor="text1"/>
              </w:rPr>
              <w:t>Persentase penurunan angka kriminalitas di Sumbar</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20</w:t>
            </w:r>
          </w:p>
          <w:p w:rsidR="007335FD" w:rsidRDefault="007335FD">
            <w:pPr>
              <w:spacing w:line="240" w:lineRule="auto"/>
              <w:jc w:val="center"/>
              <w:rPr>
                <w:rFonts w:hAnsi="Tahoma" w:cs="Tahoma"/>
                <w:sz w:val="20"/>
                <w:szCs w:val="20"/>
              </w:rPr>
            </w:pP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1,94</w:t>
            </w:r>
          </w:p>
        </w:tc>
        <w:tc>
          <w:tcPr>
            <w:tcW w:w="878"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25</w:t>
            </w:r>
          </w:p>
          <w:p w:rsidR="007335FD" w:rsidRDefault="007335FD">
            <w:pPr>
              <w:spacing w:line="240" w:lineRule="auto"/>
              <w:jc w:val="center"/>
              <w:rPr>
                <w:rFonts w:hAnsi="Tahoma" w:cs="Tahoma"/>
                <w:sz w:val="20"/>
                <w:szCs w:val="20"/>
              </w:rPr>
            </w:pP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6,21</w:t>
            </w:r>
          </w:p>
        </w:tc>
        <w:tc>
          <w:tcPr>
            <w:tcW w:w="822"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33</w:t>
            </w:r>
          </w:p>
          <w:p w:rsidR="007335FD" w:rsidRDefault="007335FD">
            <w:pPr>
              <w:spacing w:line="240" w:lineRule="auto"/>
              <w:jc w:val="center"/>
              <w:rPr>
                <w:rFonts w:hAnsi="Tahoma" w:cs="Tahoma"/>
                <w:sz w:val="20"/>
                <w:szCs w:val="20"/>
              </w:rPr>
            </w:pP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8,5</w:t>
            </w:r>
          </w:p>
        </w:tc>
        <w:tc>
          <w:tcPr>
            <w:tcW w:w="833"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400</w:t>
            </w:r>
          </w:p>
          <w:p w:rsidR="007335FD" w:rsidRDefault="007335FD">
            <w:pPr>
              <w:spacing w:line="240" w:lineRule="auto"/>
              <w:jc w:val="center"/>
              <w:rPr>
                <w:rFonts w:hAnsi="Tahoma" w:cs="Tahoma"/>
                <w:sz w:val="20"/>
                <w:szCs w:val="20"/>
              </w:rPr>
            </w:pP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38,80</w:t>
            </w:r>
          </w:p>
        </w:tc>
        <w:tc>
          <w:tcPr>
            <w:tcW w:w="845"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500</w:t>
            </w:r>
          </w:p>
          <w:p w:rsidR="007335FD" w:rsidRDefault="007335FD">
            <w:pPr>
              <w:spacing w:line="240" w:lineRule="auto"/>
              <w:jc w:val="center"/>
              <w:rPr>
                <w:rFonts w:hAnsi="Tahoma" w:cs="Tahoma"/>
                <w:sz w:val="20"/>
                <w:szCs w:val="20"/>
              </w:rPr>
            </w:pP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124,2</w:t>
            </w:r>
          </w:p>
        </w:tc>
        <w:tc>
          <w:tcPr>
            <w:tcW w:w="828"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660</w:t>
            </w:r>
          </w:p>
          <w:p w:rsidR="007335FD" w:rsidRDefault="007335FD">
            <w:pPr>
              <w:spacing w:line="240" w:lineRule="auto"/>
              <w:jc w:val="center"/>
              <w:rPr>
                <w:rFonts w:hAnsi="Tahoma" w:cs="Tahoma"/>
                <w:sz w:val="20"/>
                <w:szCs w:val="20"/>
              </w:rPr>
            </w:pPr>
          </w:p>
          <w:p w:rsidR="007335FD" w:rsidRDefault="007335FD">
            <w:pPr>
              <w:spacing w:line="240" w:lineRule="auto"/>
              <w:jc w:val="center"/>
              <w:rPr>
                <w:rFonts w:hAnsi="Tahoma" w:cs="Tahoma"/>
                <w:sz w:val="20"/>
                <w:szCs w:val="20"/>
              </w:rPr>
            </w:pPr>
          </w:p>
          <w:p w:rsidR="007335FD" w:rsidRDefault="00815898">
            <w:pPr>
              <w:spacing w:line="240" w:lineRule="auto"/>
              <w:jc w:val="center"/>
              <w:rPr>
                <w:rFonts w:hAnsi="Tahoma" w:cs="Tahoma"/>
                <w:sz w:val="20"/>
                <w:szCs w:val="20"/>
              </w:rPr>
            </w:pPr>
            <w:r>
              <w:rPr>
                <w:rFonts w:hAnsi="Tahoma" w:cs="Tahoma"/>
                <w:sz w:val="20"/>
                <w:szCs w:val="20"/>
              </w:rPr>
              <w:t>170</w:t>
            </w:r>
          </w:p>
        </w:tc>
      </w:tr>
      <w:tr w:rsidR="007335FD">
        <w:trPr>
          <w:cantSplit/>
          <w:trHeight w:val="1513"/>
          <w:jc w:val="center"/>
        </w:trPr>
        <w:tc>
          <w:tcPr>
            <w:tcW w:w="774"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color w:val="000000"/>
              </w:rPr>
            </w:pPr>
            <w:r>
              <w:rPr>
                <w:rFonts w:hAnsi="Tahoma" w:cs="Tahoma"/>
                <w:color w:val="000000"/>
              </w:rPr>
              <w:t>3</w:t>
            </w:r>
          </w:p>
        </w:tc>
        <w:tc>
          <w:tcPr>
            <w:tcW w:w="1352"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rPr>
                <w:rFonts w:hAnsi="Tahoma" w:cs="Tahoma"/>
                <w:color w:val="000000"/>
              </w:rPr>
            </w:pPr>
            <w:r>
              <w:rPr>
                <w:color w:val="000000" w:themeColor="text1"/>
              </w:rPr>
              <w:t>Meningkat-nya kualitas demokrasi di Sumatera Barat</w:t>
            </w:r>
          </w:p>
        </w:tc>
        <w:tc>
          <w:tcPr>
            <w:tcW w:w="1655"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pStyle w:val="ListParagraph"/>
              <w:numPr>
                <w:ilvl w:val="0"/>
                <w:numId w:val="26"/>
              </w:numPr>
              <w:spacing w:line="240" w:lineRule="auto"/>
              <w:ind w:left="220" w:hangingChars="100" w:hanging="220"/>
              <w:rPr>
                <w:rFonts w:hAnsi="Tahoma" w:cs="Tahoma"/>
                <w:color w:val="000000"/>
              </w:rPr>
            </w:pPr>
            <w:r>
              <w:rPr>
                <w:color w:val="000000" w:themeColor="text1"/>
              </w:rPr>
              <w:t>Nilai Indeks Demokrasi Indonesia (IDI)di Sumbar</w:t>
            </w:r>
          </w:p>
        </w:tc>
        <w:tc>
          <w:tcPr>
            <w:tcW w:w="967"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67,46</w:t>
            </w:r>
          </w:p>
        </w:tc>
        <w:tc>
          <w:tcPr>
            <w:tcW w:w="878"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both"/>
              <w:rPr>
                <w:rFonts w:hAnsi="Tahoma" w:cs="Tahoma"/>
                <w:sz w:val="20"/>
                <w:szCs w:val="20"/>
              </w:rPr>
            </w:pPr>
            <w:r>
              <w:rPr>
                <w:rFonts w:hAnsi="Tahoma" w:cs="Tahoma"/>
                <w:sz w:val="20"/>
                <w:szCs w:val="20"/>
              </w:rPr>
              <w:t>54,41</w:t>
            </w:r>
          </w:p>
        </w:tc>
        <w:tc>
          <w:tcPr>
            <w:tcW w:w="822"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69,50</w:t>
            </w:r>
          </w:p>
        </w:tc>
        <w:tc>
          <w:tcPr>
            <w:tcW w:w="833"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112,43</w:t>
            </w:r>
          </w:p>
        </w:tc>
        <w:tc>
          <w:tcPr>
            <w:tcW w:w="845"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80,01</w:t>
            </w:r>
          </w:p>
        </w:tc>
        <w:tc>
          <w:tcPr>
            <w:tcW w:w="828"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7335FD" w:rsidRDefault="00815898">
            <w:pPr>
              <w:spacing w:line="240" w:lineRule="auto"/>
              <w:jc w:val="center"/>
              <w:rPr>
                <w:rFonts w:hAnsi="Tahoma" w:cs="Tahoma"/>
                <w:sz w:val="20"/>
                <w:szCs w:val="20"/>
              </w:rPr>
            </w:pPr>
            <w:r>
              <w:rPr>
                <w:rFonts w:hAnsi="Tahoma" w:cs="Tahoma"/>
                <w:sz w:val="20"/>
                <w:szCs w:val="20"/>
              </w:rPr>
              <w:t>99,28</w:t>
            </w:r>
          </w:p>
        </w:tc>
      </w:tr>
      <w:tr w:rsidR="007335FD">
        <w:trPr>
          <w:cantSplit/>
          <w:trHeight w:val="199"/>
          <w:jc w:val="center"/>
        </w:trPr>
        <w:tc>
          <w:tcPr>
            <w:tcW w:w="6448" w:type="dxa"/>
            <w:gridSpan w:val="6"/>
            <w:tcBorders>
              <w:top w:val="single" w:sz="4" w:space="0" w:color="auto"/>
              <w:left w:val="single" w:sz="4" w:space="0" w:color="00000A"/>
              <w:bottom w:val="single" w:sz="4" w:space="0" w:color="auto"/>
              <w:right w:val="single" w:sz="4" w:space="0" w:color="00000A"/>
            </w:tcBorders>
            <w:shd w:val="clear" w:color="auto" w:fill="C00000"/>
            <w:tcMar>
              <w:left w:w="103" w:type="dxa"/>
            </w:tcMar>
          </w:tcPr>
          <w:p w:rsidR="007335FD" w:rsidRDefault="00815898">
            <w:pPr>
              <w:spacing w:line="240" w:lineRule="auto"/>
              <w:jc w:val="center"/>
              <w:rPr>
                <w:rFonts w:hAnsi="Tahoma" w:cs="Tahoma"/>
                <w:lang w:val="id-ID"/>
              </w:rPr>
            </w:pPr>
            <w:r>
              <w:rPr>
                <w:rFonts w:hAnsi="Tahoma" w:cs="Tahoma"/>
                <w:b/>
                <w:bCs/>
                <w:lang w:val="id-ID"/>
              </w:rPr>
              <w:t>Rata-rata capaian kinerja</w:t>
            </w:r>
          </w:p>
        </w:tc>
        <w:tc>
          <w:tcPr>
            <w:tcW w:w="833" w:type="dxa"/>
            <w:tcBorders>
              <w:top w:val="single" w:sz="4" w:space="0" w:color="auto"/>
              <w:left w:val="single" w:sz="4" w:space="0" w:color="00000A"/>
              <w:bottom w:val="single" w:sz="4" w:space="0" w:color="auto"/>
              <w:right w:val="single" w:sz="4" w:space="0" w:color="00000A"/>
            </w:tcBorders>
            <w:shd w:val="clear" w:color="auto" w:fill="C00000"/>
            <w:tcMar>
              <w:left w:w="103" w:type="dxa"/>
            </w:tcMar>
          </w:tcPr>
          <w:p w:rsidR="007335FD" w:rsidRDefault="00815898">
            <w:pPr>
              <w:spacing w:line="240" w:lineRule="auto"/>
              <w:jc w:val="center"/>
              <w:rPr>
                <w:rFonts w:hAnsi="Tahoma" w:cs="Tahoma"/>
                <w:b/>
              </w:rPr>
            </w:pPr>
            <w:r>
              <w:rPr>
                <w:rFonts w:hAnsi="Tahoma" w:cs="Tahoma"/>
                <w:b/>
              </w:rPr>
              <w:t>139,39</w:t>
            </w:r>
          </w:p>
        </w:tc>
        <w:tc>
          <w:tcPr>
            <w:tcW w:w="845" w:type="dxa"/>
            <w:tcBorders>
              <w:top w:val="single" w:sz="4" w:space="0" w:color="auto"/>
              <w:left w:val="single" w:sz="4" w:space="0" w:color="00000A"/>
              <w:bottom w:val="single" w:sz="4" w:space="0" w:color="auto"/>
              <w:right w:val="single" w:sz="4" w:space="0" w:color="00000A"/>
            </w:tcBorders>
            <w:shd w:val="clear" w:color="auto" w:fill="C00000"/>
            <w:tcMar>
              <w:left w:w="103" w:type="dxa"/>
            </w:tcMar>
          </w:tcPr>
          <w:p w:rsidR="007335FD" w:rsidRDefault="00815898">
            <w:pPr>
              <w:spacing w:line="240" w:lineRule="auto"/>
              <w:jc w:val="center"/>
              <w:rPr>
                <w:rFonts w:hAnsi="Tahoma" w:cs="Tahoma"/>
                <w:b/>
              </w:rPr>
            </w:pPr>
            <w:r>
              <w:rPr>
                <w:rFonts w:hAnsi="Tahoma" w:cs="Tahoma"/>
                <w:b/>
              </w:rPr>
              <w:t>165,04</w:t>
            </w:r>
          </w:p>
        </w:tc>
        <w:tc>
          <w:tcPr>
            <w:tcW w:w="828" w:type="dxa"/>
            <w:tcBorders>
              <w:top w:val="single" w:sz="4" w:space="0" w:color="auto"/>
              <w:left w:val="single" w:sz="4" w:space="0" w:color="00000A"/>
              <w:bottom w:val="single" w:sz="4" w:space="0" w:color="auto"/>
              <w:right w:val="single" w:sz="4" w:space="0" w:color="00000A"/>
            </w:tcBorders>
            <w:shd w:val="clear" w:color="auto" w:fill="C00000"/>
            <w:tcMar>
              <w:left w:w="103" w:type="dxa"/>
            </w:tcMar>
          </w:tcPr>
          <w:p w:rsidR="007335FD" w:rsidRDefault="00815898">
            <w:pPr>
              <w:spacing w:line="240" w:lineRule="auto"/>
              <w:jc w:val="both"/>
              <w:rPr>
                <w:rFonts w:hAnsi="Tahoma" w:cs="Tahoma"/>
                <w:b/>
              </w:rPr>
            </w:pPr>
            <w:r>
              <w:rPr>
                <w:rFonts w:hAnsi="Tahoma" w:cs="Tahoma"/>
                <w:b/>
              </w:rPr>
              <w:t>203,34</w:t>
            </w:r>
          </w:p>
        </w:tc>
      </w:tr>
    </w:tbl>
    <w:p w:rsidR="007335FD" w:rsidRDefault="007335FD">
      <w:pPr>
        <w:spacing w:line="480" w:lineRule="auto"/>
        <w:ind w:left="426"/>
        <w:jc w:val="both"/>
        <w:rPr>
          <w:rFonts w:ascii="Tahoma" w:hAnsi="Tahoma" w:cs="Tahoma"/>
          <w:color w:val="000000"/>
        </w:rPr>
      </w:pPr>
    </w:p>
    <w:p w:rsidR="007335FD" w:rsidRDefault="00815898">
      <w:pPr>
        <w:spacing w:line="360" w:lineRule="auto"/>
        <w:ind w:left="426" w:firstLine="716"/>
        <w:jc w:val="both"/>
        <w:rPr>
          <w:rFonts w:hAnsi="Tahoma" w:cs="Tahoma"/>
          <w:color w:val="000000"/>
          <w:sz w:val="24"/>
          <w:szCs w:val="24"/>
        </w:rPr>
      </w:pPr>
      <w:r>
        <w:rPr>
          <w:rFonts w:hAnsi="Tahoma" w:cs="Tahoma"/>
          <w:color w:val="000000"/>
          <w:sz w:val="24"/>
          <w:szCs w:val="24"/>
        </w:rPr>
        <w:t xml:space="preserve">Dari perbandingan rata-rata capaian kinerja tahun 2016 s.d 2018 dapat dijelaskan, bahwa terjadi kenaikan capaian kinerja, dimana rata-rata capaian kinerja tahun 2016, 2017 dan 2018 yaitu 139,39%, 165,04% dan 203,35%. </w:t>
      </w:r>
      <w:proofErr w:type="gramStart"/>
      <w:r>
        <w:rPr>
          <w:rFonts w:hAnsi="Tahoma" w:cs="Tahoma"/>
          <w:color w:val="000000"/>
          <w:sz w:val="24"/>
          <w:szCs w:val="24"/>
        </w:rPr>
        <w:t>Kenaikan capaian kinerja ini dipegaruhi oleh beberapa faktor diantaranya menurunnya jumlah konflik sosial yang terjadi di Sumbar, penurunan angka kriminalitas dan kenaikan nilai IDI di Sumbar.</w:t>
      </w:r>
      <w:proofErr w:type="gramEnd"/>
      <w:r>
        <w:rPr>
          <w:rFonts w:hAnsi="Tahoma" w:cs="Tahoma"/>
          <w:color w:val="000000"/>
          <w:sz w:val="24"/>
          <w:szCs w:val="24"/>
        </w:rPr>
        <w:t xml:space="preserve"> </w:t>
      </w:r>
    </w:p>
    <w:p w:rsidR="007335FD" w:rsidRDefault="00851EC5">
      <w:pPr>
        <w:autoSpaceDE w:val="0"/>
        <w:autoSpaceDN w:val="0"/>
        <w:adjustRightInd w:val="0"/>
        <w:spacing w:after="0" w:line="360" w:lineRule="auto"/>
        <w:jc w:val="both"/>
        <w:rPr>
          <w:rFonts w:ascii="Segoe UI Black" w:hAnsi="Segoe UI Black" w:cs="Segoe UI Black"/>
          <w:b/>
          <w:bCs/>
          <w:sz w:val="24"/>
          <w:szCs w:val="24"/>
        </w:rPr>
      </w:pPr>
      <w:r>
        <w:lastRenderedPageBreak/>
        <w:pict>
          <v:shape id="_x0000_s1035" type="#_x0000_t32" style="position:absolute;left:0;text-align:left;margin-left:1.65pt;margin-top:22.05pt;width:462.7pt;height:0;z-index:276728832;mso-width-relative:page;mso-height-relative:page" strokecolor="#c00000" strokeweight="4.5pt"/>
        </w:pict>
      </w:r>
      <w:r w:rsidR="00815898">
        <w:rPr>
          <w:rFonts w:ascii="Segoe UI Black" w:hAnsi="Segoe UI Black" w:cs="Segoe UI Black"/>
          <w:b/>
          <w:bCs/>
          <w:sz w:val="24"/>
          <w:szCs w:val="24"/>
        </w:rPr>
        <w:t>3.3 Capaian Kinerja Badan Kesbangpol Tahun 2018</w:t>
      </w:r>
    </w:p>
    <w:p w:rsidR="007335FD" w:rsidRDefault="007335FD">
      <w:pPr>
        <w:autoSpaceDE w:val="0"/>
        <w:autoSpaceDN w:val="0"/>
        <w:adjustRightInd w:val="0"/>
        <w:spacing w:after="0" w:line="360" w:lineRule="auto"/>
        <w:ind w:firstLine="720"/>
        <w:jc w:val="both"/>
        <w:rPr>
          <w:rFonts w:cs="Arial"/>
          <w:sz w:val="24"/>
          <w:szCs w:val="24"/>
        </w:rPr>
      </w:pPr>
    </w:p>
    <w:p w:rsidR="007335FD" w:rsidRDefault="00815898">
      <w:pPr>
        <w:autoSpaceDE w:val="0"/>
        <w:autoSpaceDN w:val="0"/>
        <w:adjustRightInd w:val="0"/>
        <w:spacing w:after="0" w:line="360" w:lineRule="auto"/>
        <w:ind w:leftChars="200" w:left="440" w:firstLine="720"/>
        <w:jc w:val="both"/>
        <w:rPr>
          <w:rFonts w:cs="Arial"/>
          <w:sz w:val="24"/>
          <w:szCs w:val="24"/>
        </w:rPr>
      </w:pPr>
      <w:proofErr w:type="gramStart"/>
      <w:r>
        <w:rPr>
          <w:rFonts w:cs="Arial"/>
          <w:sz w:val="24"/>
          <w:szCs w:val="24"/>
        </w:rPr>
        <w:t>Capaian kinerja organisasi merupakan tolok ukur keberhasilan dalam melaksanakan program dan kegiatan, yang didasarkan pada indikator kinerja yang telah ditetapkan.</w:t>
      </w:r>
      <w:proofErr w:type="gramEnd"/>
      <w:r>
        <w:rPr>
          <w:rFonts w:cs="Arial"/>
          <w:sz w:val="24"/>
          <w:szCs w:val="24"/>
        </w:rPr>
        <w:t xml:space="preserve"> </w:t>
      </w:r>
      <w:proofErr w:type="gramStart"/>
      <w:r>
        <w:rPr>
          <w:rFonts w:cs="Arial"/>
          <w:sz w:val="24"/>
          <w:szCs w:val="24"/>
        </w:rPr>
        <w:t>Perbandingan antara kinerja yang dicapai dengan kinerja yang diharapkan atau direncanakan merupakan salah satu bentuk pengukuran kinerja.</w:t>
      </w:r>
      <w:proofErr w:type="gramEnd"/>
    </w:p>
    <w:p w:rsidR="007335FD" w:rsidRDefault="00815898">
      <w:pPr>
        <w:autoSpaceDE w:val="0"/>
        <w:autoSpaceDN w:val="0"/>
        <w:adjustRightInd w:val="0"/>
        <w:spacing w:after="0" w:line="360" w:lineRule="auto"/>
        <w:ind w:leftChars="200" w:left="440" w:firstLine="720"/>
        <w:jc w:val="both"/>
        <w:rPr>
          <w:rFonts w:cs="Aparajita"/>
          <w:sz w:val="24"/>
          <w:szCs w:val="24"/>
        </w:rPr>
      </w:pPr>
      <w:r>
        <w:rPr>
          <w:rFonts w:cs="Aparajita"/>
          <w:sz w:val="24"/>
          <w:szCs w:val="24"/>
        </w:rPr>
        <w:t xml:space="preserve">Berdasarkan hasil pengukuran indakator kinerja Badan Kesatuan Bangsa dan Politik Provinsi Sumatera Barat Tahun 2018 sebagaimana tercantum pada tabel 3.3, selanjutnya pada sub </w:t>
      </w:r>
      <w:proofErr w:type="gramStart"/>
      <w:r>
        <w:rPr>
          <w:rFonts w:cs="Aparajita"/>
          <w:sz w:val="24"/>
          <w:szCs w:val="24"/>
        </w:rPr>
        <w:t>bab</w:t>
      </w:r>
      <w:proofErr w:type="gramEnd"/>
      <w:r>
        <w:rPr>
          <w:rFonts w:cs="Aparajita"/>
          <w:sz w:val="24"/>
          <w:szCs w:val="24"/>
        </w:rPr>
        <w:t xml:space="preserve"> ini disajikan analisis capaian kinerja per sasaran strategis untuk mewujudkan misi yang telah ditetapkan dalam dokumen perencanaan. </w:t>
      </w:r>
    </w:p>
    <w:p w:rsidR="007335FD" w:rsidRDefault="00815898">
      <w:pPr>
        <w:autoSpaceDE w:val="0"/>
        <w:autoSpaceDN w:val="0"/>
        <w:adjustRightInd w:val="0"/>
        <w:spacing w:after="0" w:line="360" w:lineRule="auto"/>
        <w:ind w:leftChars="200" w:left="440" w:firstLine="720"/>
        <w:jc w:val="both"/>
        <w:rPr>
          <w:rFonts w:cs="Aparajita"/>
          <w:sz w:val="24"/>
          <w:szCs w:val="24"/>
        </w:rPr>
      </w:pPr>
      <w:r>
        <w:rPr>
          <w:rFonts w:cs="Aparajita"/>
          <w:sz w:val="24"/>
          <w:szCs w:val="24"/>
        </w:rPr>
        <w:t xml:space="preserve">Adapun misi Badan Kesbangpol Prov Sumbar yang ditetapkan untuk mendukung visi dan misi RPJMD 2016-2021 Provinsi Sumatera Barat diantaranya </w:t>
      </w:r>
      <w:proofErr w:type="gramStart"/>
      <w:r>
        <w:rPr>
          <w:rFonts w:cs="Aparajita"/>
          <w:sz w:val="24"/>
          <w:szCs w:val="24"/>
        </w:rPr>
        <w:t>adalah :</w:t>
      </w:r>
      <w:proofErr w:type="gramEnd"/>
    </w:p>
    <w:p w:rsidR="007335FD" w:rsidRDefault="00815898">
      <w:pPr>
        <w:autoSpaceDE w:val="0"/>
        <w:autoSpaceDN w:val="0"/>
        <w:adjustRightInd w:val="0"/>
        <w:spacing w:after="0" w:line="240" w:lineRule="auto"/>
        <w:ind w:left="1134" w:hanging="694"/>
        <w:jc w:val="both"/>
        <w:rPr>
          <w:rFonts w:ascii="Segoe UI Black" w:hAnsi="Segoe UI Black" w:cs="Segoe UI Black"/>
          <w:b/>
          <w:sz w:val="24"/>
          <w:szCs w:val="24"/>
        </w:rPr>
      </w:pPr>
      <w:r>
        <w:rPr>
          <w:rFonts w:ascii="Segoe UI Black" w:hAnsi="Segoe UI Black" w:cs="Segoe UI Black"/>
          <w:b/>
          <w:sz w:val="24"/>
          <w:szCs w:val="24"/>
          <w:lang w:val="sv-SE"/>
        </w:rPr>
        <w:t xml:space="preserve">MISI 1 </w:t>
      </w:r>
      <w:r>
        <w:rPr>
          <w:rFonts w:ascii="Segoe UI Black" w:hAnsi="Segoe UI Black" w:cs="Segoe UI Black"/>
          <w:b/>
          <w:sz w:val="24"/>
          <w:szCs w:val="24"/>
        </w:rPr>
        <w:t xml:space="preserve">MENINGKATKAN TATA PEMERINTAHAN YANG BAIK, BERSIH DAN   </w:t>
      </w:r>
    </w:p>
    <w:p w:rsidR="007335FD" w:rsidRDefault="00815898">
      <w:pPr>
        <w:autoSpaceDE w:val="0"/>
        <w:autoSpaceDN w:val="0"/>
        <w:adjustRightInd w:val="0"/>
        <w:spacing w:after="0" w:line="240" w:lineRule="auto"/>
        <w:ind w:left="1314" w:firstLine="6"/>
        <w:jc w:val="both"/>
        <w:rPr>
          <w:rFonts w:ascii="Segoe UI Black" w:hAnsi="Segoe UI Black" w:cs="Segoe UI Black"/>
          <w:b/>
          <w:sz w:val="24"/>
          <w:szCs w:val="24"/>
          <w:lang w:val="sv-SE"/>
        </w:rPr>
      </w:pPr>
      <w:r>
        <w:rPr>
          <w:rFonts w:ascii="Segoe UI Black" w:hAnsi="Segoe UI Black" w:cs="Segoe UI Black"/>
          <w:b/>
          <w:sz w:val="24"/>
          <w:szCs w:val="24"/>
        </w:rPr>
        <w:t>PROFESIONAL</w:t>
      </w:r>
    </w:p>
    <w:p w:rsidR="007335FD" w:rsidRDefault="007335FD">
      <w:pPr>
        <w:autoSpaceDE w:val="0"/>
        <w:autoSpaceDN w:val="0"/>
        <w:adjustRightInd w:val="0"/>
        <w:spacing w:after="0" w:line="240" w:lineRule="auto"/>
        <w:ind w:left="1080" w:hanging="1080"/>
        <w:jc w:val="both"/>
        <w:rPr>
          <w:rFonts w:ascii="Segoe UI Black" w:hAnsi="Segoe UI Black" w:cs="Segoe UI Black"/>
          <w:b/>
          <w:sz w:val="28"/>
          <w:szCs w:val="28"/>
        </w:rPr>
      </w:pPr>
    </w:p>
    <w:p w:rsidR="007335FD" w:rsidRDefault="00815898">
      <w:pPr>
        <w:autoSpaceDE w:val="0"/>
        <w:autoSpaceDN w:val="0"/>
        <w:adjustRightInd w:val="0"/>
        <w:spacing w:after="0" w:line="360" w:lineRule="auto"/>
        <w:ind w:leftChars="200" w:left="440" w:firstLine="660"/>
        <w:jc w:val="both"/>
        <w:rPr>
          <w:rFonts w:cs="Arial"/>
          <w:sz w:val="24"/>
          <w:szCs w:val="24"/>
        </w:rPr>
      </w:pPr>
      <w:r>
        <w:rPr>
          <w:rFonts w:cs="Aparajita"/>
          <w:sz w:val="24"/>
          <w:szCs w:val="24"/>
        </w:rPr>
        <w:t>Misi 1 Badan Kesbangpol Provinsi Sumatera Barat yaitu meningkatkan tata pemerintahan yang baik, bersih dan profesional merupakan salah satu misi yang akan dicapai oleh Badan Kesbangpol Provinsi Sumatera Barat untuk mendukung misi 1 RPJMD Provinsi Sumatera Barat tahun 2016-2021 yaitu “M</w:t>
      </w:r>
      <w:r>
        <w:rPr>
          <w:rFonts w:cs="Arial"/>
          <w:sz w:val="24"/>
          <w:szCs w:val="24"/>
        </w:rPr>
        <w:t>eningkatkan tata kehidupan yang harmonis, agamais, beradat dan berbudaya berdasarkan falsafah “Adat Basandi Syarak, Syarak Basandi Kitabullah”.</w:t>
      </w:r>
      <w:r>
        <w:rPr>
          <w:rFonts w:cs="Aparajita"/>
          <w:sz w:val="24"/>
          <w:szCs w:val="24"/>
        </w:rPr>
        <w:t xml:space="preserve"> Untuk mewujudkan misi tersebut di atas, ditetapkan tujuan dan sasaran strategis yang akan dicapai dari pelaksanaan program dan kegiatan Badan Kesbangpol Provinsi Sumatera Barat </w:t>
      </w:r>
      <w:proofErr w:type="gramStart"/>
      <w:r>
        <w:rPr>
          <w:rFonts w:cs="Aparajita"/>
          <w:sz w:val="24"/>
          <w:szCs w:val="24"/>
        </w:rPr>
        <w:t>yaitu :</w:t>
      </w:r>
      <w:proofErr w:type="gramEnd"/>
      <w:r>
        <w:rPr>
          <w:rFonts w:cs="Arial"/>
          <w:sz w:val="24"/>
          <w:szCs w:val="24"/>
        </w:rPr>
        <w:t xml:space="preserve"> </w:t>
      </w:r>
    </w:p>
    <w:tbl>
      <w:tblPr>
        <w:tblStyle w:val="TableGrid"/>
        <w:tblW w:w="8967" w:type="dxa"/>
        <w:tblInd w:w="550" w:type="dxa"/>
        <w:tblLayout w:type="fixed"/>
        <w:tblLook w:val="04A0" w:firstRow="1" w:lastRow="0" w:firstColumn="1" w:lastColumn="0" w:noHBand="0" w:noVBand="1"/>
      </w:tblPr>
      <w:tblGrid>
        <w:gridCol w:w="611"/>
        <w:gridCol w:w="4600"/>
        <w:gridCol w:w="3756"/>
      </w:tblGrid>
      <w:tr w:rsidR="007335FD">
        <w:tc>
          <w:tcPr>
            <w:tcW w:w="611"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No</w:t>
            </w:r>
          </w:p>
        </w:tc>
        <w:tc>
          <w:tcPr>
            <w:tcW w:w="4600"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Tujuan</w:t>
            </w:r>
          </w:p>
        </w:tc>
        <w:tc>
          <w:tcPr>
            <w:tcW w:w="3756"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Sasaran Strategis</w:t>
            </w:r>
          </w:p>
        </w:tc>
      </w:tr>
      <w:tr w:rsidR="007335FD">
        <w:tc>
          <w:tcPr>
            <w:tcW w:w="611"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1</w:t>
            </w:r>
          </w:p>
        </w:tc>
        <w:tc>
          <w:tcPr>
            <w:tcW w:w="4600" w:type="dxa"/>
            <w:shd w:val="clear" w:color="auto" w:fill="auto"/>
          </w:tcPr>
          <w:p w:rsidR="007335FD" w:rsidRDefault="00815898">
            <w:pPr>
              <w:pStyle w:val="NoSpacing"/>
              <w:rPr>
                <w:rFonts w:cs="Arial"/>
                <w:sz w:val="24"/>
                <w:szCs w:val="24"/>
              </w:rPr>
            </w:pPr>
            <w:r>
              <w:rPr>
                <w:sz w:val="24"/>
                <w:szCs w:val="24"/>
              </w:rPr>
              <w:t>Terwujudnya tata kelola pemerintahan yang efektif dan efisien</w:t>
            </w:r>
          </w:p>
        </w:tc>
        <w:tc>
          <w:tcPr>
            <w:tcW w:w="3756" w:type="dxa"/>
            <w:shd w:val="clear" w:color="auto" w:fill="auto"/>
          </w:tcPr>
          <w:p w:rsidR="007335FD" w:rsidRDefault="00815898">
            <w:pPr>
              <w:pStyle w:val="NoSpacing"/>
              <w:rPr>
                <w:rFonts w:cs="Aparajita"/>
                <w:sz w:val="24"/>
                <w:szCs w:val="24"/>
              </w:rPr>
            </w:pPr>
            <w:r>
              <w:rPr>
                <w:rFonts w:cs="Aparajita"/>
                <w:sz w:val="24"/>
                <w:szCs w:val="24"/>
              </w:rPr>
              <w:t>Meningkatnya tata kelola organisasi</w:t>
            </w:r>
          </w:p>
        </w:tc>
      </w:tr>
    </w:tbl>
    <w:p w:rsidR="007335FD" w:rsidRDefault="007335FD">
      <w:pPr>
        <w:pStyle w:val="NoSpacing"/>
        <w:jc w:val="center"/>
        <w:rPr>
          <w:rFonts w:ascii="Segoe UI Black" w:hAnsi="Segoe UI Black" w:cs="Segoe UI Black"/>
          <w:sz w:val="40"/>
          <w:szCs w:val="40"/>
          <w:u w:val="single"/>
        </w:rPr>
      </w:pPr>
    </w:p>
    <w:p w:rsidR="007335FD" w:rsidRDefault="00815898">
      <w:pPr>
        <w:pStyle w:val="NoSpacing"/>
        <w:jc w:val="center"/>
        <w:rPr>
          <w:rFonts w:ascii="Segoe UI Black" w:hAnsi="Segoe UI Black" w:cs="Segoe UI Black"/>
          <w:sz w:val="40"/>
          <w:szCs w:val="40"/>
          <w:u w:val="single"/>
        </w:rPr>
      </w:pPr>
      <w:r>
        <w:rPr>
          <w:rFonts w:ascii="Segoe UI Black" w:hAnsi="Segoe UI Black" w:cs="Segoe UI Black"/>
          <w:sz w:val="40"/>
          <w:szCs w:val="40"/>
          <w:u w:val="single"/>
        </w:rPr>
        <w:t>SASARAN STRATEGIS I</w:t>
      </w:r>
    </w:p>
    <w:tbl>
      <w:tblPr>
        <w:tblStyle w:val="TableGrid"/>
        <w:tblpPr w:leftFromText="180" w:rightFromText="180" w:vertAnchor="text" w:horzAnchor="page" w:tblpX="2021" w:tblpY="267"/>
        <w:tblOverlap w:val="never"/>
        <w:tblW w:w="90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846"/>
        <w:gridCol w:w="6214"/>
      </w:tblGrid>
      <w:tr w:rsidR="007335FD">
        <w:trPr>
          <w:trHeight w:val="2643"/>
        </w:trPr>
        <w:tc>
          <w:tcPr>
            <w:tcW w:w="2846" w:type="dxa"/>
          </w:tcPr>
          <w:p w:rsidR="007335FD" w:rsidRDefault="00815898">
            <w:pPr>
              <w:autoSpaceDE w:val="0"/>
              <w:autoSpaceDN w:val="0"/>
              <w:adjustRightInd w:val="0"/>
              <w:spacing w:line="360" w:lineRule="auto"/>
              <w:rPr>
                <w:rFonts w:ascii="Aparajita" w:hAnsi="Aparajita" w:cs="Aparajita"/>
                <w:sz w:val="24"/>
                <w:szCs w:val="24"/>
              </w:rPr>
            </w:pPr>
            <w:r>
              <w:rPr>
                <w:rFonts w:ascii="Aparajita" w:hAnsi="Aparajita" w:cs="Aparajita"/>
                <w:noProof/>
                <w:sz w:val="24"/>
                <w:szCs w:val="24"/>
              </w:rPr>
              <w:lastRenderedPageBreak/>
              <w:drawing>
                <wp:anchor distT="0" distB="0" distL="114300" distR="114300" simplePos="0" relativeHeight="276767744" behindDoc="1" locked="0" layoutInCell="1" allowOverlap="1">
                  <wp:simplePos x="0" y="0"/>
                  <wp:positionH relativeFrom="column">
                    <wp:posOffset>-68580</wp:posOffset>
                  </wp:positionH>
                  <wp:positionV relativeFrom="paragraph">
                    <wp:posOffset>737235</wp:posOffset>
                  </wp:positionV>
                  <wp:extent cx="904240" cy="953135"/>
                  <wp:effectExtent l="0" t="0" r="10160" b="12065"/>
                  <wp:wrapNone/>
                  <wp:docPr id="27" name="Picture 27" descr="D:\FILE 2017\PROGRAM\LAKIP\LAKIP 2017\Gambar\kalk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FILE 2017\PROGRAM\LAKIP\LAKIP 2017\Gambar\kalkulato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4240" cy="953135"/>
                          </a:xfrm>
                          <a:prstGeom prst="rect">
                            <a:avLst/>
                          </a:prstGeom>
                          <a:noFill/>
                          <a:ln>
                            <a:noFill/>
                          </a:ln>
                        </pic:spPr>
                      </pic:pic>
                    </a:graphicData>
                  </a:graphic>
                </wp:anchor>
              </w:drawing>
            </w:r>
            <w:r>
              <w:rPr>
                <w:rFonts w:ascii="Aparajita" w:hAnsi="Aparajita" w:cs="Aparajita"/>
                <w:noProof/>
                <w:sz w:val="24"/>
                <w:szCs w:val="24"/>
              </w:rPr>
              <w:drawing>
                <wp:anchor distT="0" distB="0" distL="114300" distR="114300" simplePos="0" relativeHeight="276768768" behindDoc="1" locked="0" layoutInCell="1" allowOverlap="1">
                  <wp:simplePos x="0" y="0"/>
                  <wp:positionH relativeFrom="column">
                    <wp:posOffset>836295</wp:posOffset>
                  </wp:positionH>
                  <wp:positionV relativeFrom="paragraph">
                    <wp:posOffset>737235</wp:posOffset>
                  </wp:positionV>
                  <wp:extent cx="943610" cy="913765"/>
                  <wp:effectExtent l="0" t="0" r="8890" b="635"/>
                  <wp:wrapNone/>
                  <wp:docPr id="28" name="Picture 28" descr="D:\FILE 2017\PROGRAM\LAKIP\LAKIP 2017\Gambar\la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FILE 2017\PROGRAM\LAKIP\LAKIP 2017\Gambar\laki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3583" cy="914027"/>
                          </a:xfrm>
                          <a:prstGeom prst="rect">
                            <a:avLst/>
                          </a:prstGeom>
                          <a:noFill/>
                          <a:ln>
                            <a:noFill/>
                          </a:ln>
                        </pic:spPr>
                      </pic:pic>
                    </a:graphicData>
                  </a:graphic>
                </wp:anchor>
              </w:drawing>
            </w:r>
            <w:r>
              <w:rPr>
                <w:b/>
                <w:noProof/>
                <w:color w:val="000000" w:themeColor="text1"/>
                <w:sz w:val="24"/>
                <w:szCs w:val="24"/>
              </w:rPr>
              <w:drawing>
                <wp:anchor distT="0" distB="0" distL="114300" distR="114300" simplePos="0" relativeHeight="276765696" behindDoc="1" locked="0" layoutInCell="1" allowOverlap="1">
                  <wp:simplePos x="0" y="0"/>
                  <wp:positionH relativeFrom="column">
                    <wp:posOffset>-87630</wp:posOffset>
                  </wp:positionH>
                  <wp:positionV relativeFrom="paragraph">
                    <wp:posOffset>7620</wp:posOffset>
                  </wp:positionV>
                  <wp:extent cx="1838325" cy="728980"/>
                  <wp:effectExtent l="0" t="0" r="3175" b="7620"/>
                  <wp:wrapNone/>
                  <wp:docPr id="23" name="Picture 23" descr="D:\FILE 2017\PROGRAM\LAKIP\LAKIP 2017\Gambar\lap 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FILE 2017\PROGRAM\LAKIP\LAKIP 2017\Gambar\lap keuanga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38325" cy="728980"/>
                          </a:xfrm>
                          <a:prstGeom prst="rect">
                            <a:avLst/>
                          </a:prstGeom>
                          <a:noFill/>
                          <a:ln>
                            <a:noFill/>
                          </a:ln>
                        </pic:spPr>
                      </pic:pic>
                    </a:graphicData>
                  </a:graphic>
                </wp:anchor>
              </w:drawing>
            </w:r>
            <w:r>
              <w:rPr>
                <w:rFonts w:ascii="Aparajita" w:hAnsi="Aparajita" w:cs="Aparajita"/>
                <w:noProof/>
                <w:sz w:val="24"/>
                <w:szCs w:val="24"/>
              </w:rPr>
              <w:drawing>
                <wp:anchor distT="0" distB="0" distL="114300" distR="114300" simplePos="0" relativeHeight="276766720" behindDoc="1" locked="0" layoutInCell="1" allowOverlap="1">
                  <wp:simplePos x="0" y="0"/>
                  <wp:positionH relativeFrom="column">
                    <wp:posOffset>1750695</wp:posOffset>
                  </wp:positionH>
                  <wp:positionV relativeFrom="paragraph">
                    <wp:posOffset>7620</wp:posOffset>
                  </wp:positionV>
                  <wp:extent cx="4046855" cy="1633855"/>
                  <wp:effectExtent l="0" t="0" r="4445" b="4445"/>
                  <wp:wrapNone/>
                  <wp:docPr id="25" name="Picture 25" descr="D:\FILE 2017\PROGRAM\LAKIP\LAKIP 2017\Gambar\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FILE 2017\PROGRAM\LAKIP\LAKIP 2017\Gambar\grafik.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046451" cy="1633855"/>
                          </a:xfrm>
                          <a:prstGeom prst="rect">
                            <a:avLst/>
                          </a:prstGeom>
                          <a:noFill/>
                          <a:ln>
                            <a:noFill/>
                          </a:ln>
                        </pic:spPr>
                      </pic:pic>
                    </a:graphicData>
                  </a:graphic>
                </wp:anchor>
              </w:drawing>
            </w:r>
          </w:p>
        </w:tc>
        <w:tc>
          <w:tcPr>
            <w:tcW w:w="6214" w:type="dxa"/>
          </w:tcPr>
          <w:p w:rsidR="007335FD" w:rsidRDefault="007335FD">
            <w:pPr>
              <w:autoSpaceDE w:val="0"/>
              <w:autoSpaceDN w:val="0"/>
              <w:adjustRightInd w:val="0"/>
              <w:spacing w:line="360" w:lineRule="auto"/>
              <w:jc w:val="center"/>
              <w:rPr>
                <w:rFonts w:ascii="Bernard MT Condensed" w:hAnsi="Bernard MT Condensed" w:cs="Aparajita"/>
                <w:sz w:val="36"/>
                <w:szCs w:val="36"/>
              </w:rPr>
            </w:pPr>
          </w:p>
          <w:p w:rsidR="007335FD" w:rsidRDefault="007335FD">
            <w:pPr>
              <w:autoSpaceDE w:val="0"/>
              <w:autoSpaceDN w:val="0"/>
              <w:adjustRightInd w:val="0"/>
              <w:spacing w:line="360" w:lineRule="auto"/>
              <w:jc w:val="center"/>
              <w:rPr>
                <w:rFonts w:ascii="Bernard MT Condensed" w:hAnsi="Bernard MT Condensed" w:cs="Aparajita"/>
                <w:sz w:val="36"/>
                <w:szCs w:val="36"/>
              </w:rPr>
            </w:pPr>
          </w:p>
          <w:p w:rsidR="007335FD" w:rsidRDefault="00815898">
            <w:pPr>
              <w:pStyle w:val="NoSpacing"/>
              <w:jc w:val="center"/>
              <w:rPr>
                <w:rFonts w:ascii="Segoe UI Black" w:hAnsi="Segoe UI Black" w:cs="Segoe UI Black"/>
                <w:sz w:val="24"/>
                <w:szCs w:val="24"/>
              </w:rPr>
            </w:pPr>
            <w:r>
              <w:rPr>
                <w:rFonts w:ascii="Segoe UI Black" w:hAnsi="Segoe UI Black" w:cs="Segoe UI Black"/>
                <w:sz w:val="24"/>
                <w:szCs w:val="24"/>
              </w:rPr>
              <w:t>SASARAN STRATEGIS I</w:t>
            </w:r>
          </w:p>
          <w:p w:rsidR="007335FD" w:rsidRDefault="00815898">
            <w:pPr>
              <w:pStyle w:val="NoSpacing"/>
              <w:jc w:val="center"/>
              <w:rPr>
                <w:rFonts w:ascii="Aparajita" w:hAnsi="Aparajita" w:cs="Aparajita"/>
                <w:sz w:val="24"/>
                <w:szCs w:val="24"/>
              </w:rPr>
            </w:pPr>
            <w:r>
              <w:rPr>
                <w:rFonts w:ascii="Segoe UI Black" w:hAnsi="Segoe UI Black" w:cs="Segoe UI Black"/>
                <w:sz w:val="24"/>
                <w:szCs w:val="24"/>
                <w:lang w:val="sv-SE"/>
              </w:rPr>
              <w:t>Meningkatnya Tata Kelola Organisasi</w:t>
            </w:r>
            <w:r>
              <w:rPr>
                <w:rFonts w:ascii="Segoe UI Black" w:hAnsi="Segoe UI Black" w:cs="Segoe UI Black"/>
                <w:color w:val="FFFFFF" w:themeColor="background1"/>
                <w:sz w:val="24"/>
                <w:szCs w:val="24"/>
                <w:lang w:val="sv-SE"/>
              </w:rPr>
              <w:t xml:space="preserve"> .</w:t>
            </w:r>
          </w:p>
        </w:tc>
      </w:tr>
    </w:tbl>
    <w:p w:rsidR="007335FD" w:rsidRDefault="007335FD">
      <w:pPr>
        <w:pStyle w:val="NoSpacing"/>
        <w:jc w:val="center"/>
        <w:rPr>
          <w:rFonts w:ascii="Segoe UI Black" w:hAnsi="Segoe UI Black" w:cs="Segoe UI Black"/>
          <w:sz w:val="24"/>
          <w:szCs w:val="24"/>
        </w:rPr>
      </w:pPr>
    </w:p>
    <w:p w:rsidR="007335FD" w:rsidRDefault="007335FD">
      <w:pPr>
        <w:autoSpaceDE w:val="0"/>
        <w:autoSpaceDN w:val="0"/>
        <w:adjustRightInd w:val="0"/>
        <w:spacing w:after="0" w:line="360" w:lineRule="auto"/>
        <w:ind w:firstLine="720"/>
        <w:jc w:val="both"/>
        <w:rPr>
          <w:rFonts w:cs="Arial"/>
          <w:sz w:val="24"/>
          <w:szCs w:val="24"/>
        </w:rPr>
      </w:pPr>
    </w:p>
    <w:p w:rsidR="007335FD" w:rsidRDefault="00815898">
      <w:pPr>
        <w:autoSpaceDE w:val="0"/>
        <w:autoSpaceDN w:val="0"/>
        <w:adjustRightInd w:val="0"/>
        <w:spacing w:after="0" w:line="360" w:lineRule="auto"/>
        <w:ind w:leftChars="200" w:left="440" w:firstLine="720"/>
        <w:jc w:val="both"/>
        <w:rPr>
          <w:color w:val="000000" w:themeColor="text1"/>
          <w:sz w:val="24"/>
          <w:szCs w:val="24"/>
        </w:rPr>
      </w:pPr>
      <w:proofErr w:type="gramStart"/>
      <w:r>
        <w:rPr>
          <w:rFonts w:cs="Arial"/>
          <w:sz w:val="24"/>
          <w:szCs w:val="24"/>
        </w:rPr>
        <w:t xml:space="preserve">Indikator kinerja yang ditetapkan untuk mengukur keberhasilan sasaran strategis meningkatnya tata kelola organisasi adalah </w:t>
      </w:r>
      <w:r>
        <w:rPr>
          <w:color w:val="000000" w:themeColor="text1"/>
          <w:sz w:val="24"/>
          <w:szCs w:val="24"/>
        </w:rPr>
        <w:t>nilai evaluasi akuntabilitas kinerja dan persentase capaian realisasi fisik dan keuangan pelaksanaan program/kegiatan.</w:t>
      </w:r>
      <w:proofErr w:type="gramEnd"/>
      <w:r>
        <w:rPr>
          <w:color w:val="000000" w:themeColor="text1"/>
          <w:sz w:val="24"/>
          <w:szCs w:val="24"/>
        </w:rPr>
        <w:t xml:space="preserve"> Realisasi dan capaian indikator kinerja tersebut tercantum pada tabel 3.4</w:t>
      </w:r>
    </w:p>
    <w:p w:rsidR="007335FD" w:rsidRDefault="00815898">
      <w:pPr>
        <w:pStyle w:val="NoSpacing"/>
        <w:jc w:val="center"/>
        <w:rPr>
          <w:rFonts w:hAnsi="Berlin Sans FB Demi"/>
          <w:b/>
          <w:bCs/>
          <w:sz w:val="24"/>
          <w:szCs w:val="24"/>
        </w:rPr>
      </w:pPr>
      <w:r>
        <w:rPr>
          <w:rFonts w:hAnsi="Berlin Sans FB Demi"/>
          <w:b/>
          <w:bCs/>
          <w:sz w:val="24"/>
          <w:szCs w:val="24"/>
        </w:rPr>
        <w:t>Tabel 3.4</w:t>
      </w:r>
    </w:p>
    <w:p w:rsidR="007335FD" w:rsidRDefault="00815898">
      <w:pPr>
        <w:autoSpaceDE w:val="0"/>
        <w:autoSpaceDN w:val="0"/>
        <w:adjustRightInd w:val="0"/>
        <w:spacing w:after="0" w:line="360" w:lineRule="auto"/>
        <w:ind w:firstLine="720"/>
        <w:jc w:val="center"/>
        <w:rPr>
          <w:b/>
          <w:bCs/>
          <w:color w:val="000000" w:themeColor="text1"/>
          <w:sz w:val="24"/>
          <w:szCs w:val="24"/>
        </w:rPr>
      </w:pPr>
      <w:r>
        <w:rPr>
          <w:rFonts w:hAnsi="Berlin Sans FB Demi"/>
          <w:b/>
          <w:bCs/>
          <w:sz w:val="24"/>
          <w:szCs w:val="24"/>
        </w:rPr>
        <w:t>Capaian Kinerja Indikator Kinerja Sasaran Strategis I</w:t>
      </w:r>
    </w:p>
    <w:tbl>
      <w:tblPr>
        <w:tblStyle w:val="TableGrid"/>
        <w:tblW w:w="8963" w:type="dxa"/>
        <w:tblInd w:w="501" w:type="dxa"/>
        <w:tblLayout w:type="fixed"/>
        <w:tblLook w:val="04A0" w:firstRow="1" w:lastRow="0" w:firstColumn="1" w:lastColumn="0" w:noHBand="0" w:noVBand="1"/>
      </w:tblPr>
      <w:tblGrid>
        <w:gridCol w:w="549"/>
        <w:gridCol w:w="2189"/>
        <w:gridCol w:w="1493"/>
        <w:gridCol w:w="1495"/>
        <w:gridCol w:w="1516"/>
        <w:gridCol w:w="1721"/>
      </w:tblGrid>
      <w:tr w:rsidR="007335FD">
        <w:tc>
          <w:tcPr>
            <w:tcW w:w="549" w:type="dxa"/>
            <w:tcBorders>
              <w:bottom w:val="single" w:sz="4" w:space="0" w:color="auto"/>
            </w:tcBorders>
            <w:shd w:val="clear" w:color="auto" w:fill="C00000"/>
          </w:tcPr>
          <w:p w:rsidR="007335FD" w:rsidRDefault="00815898">
            <w:pPr>
              <w:pStyle w:val="NoSpacing"/>
              <w:jc w:val="center"/>
              <w:rPr>
                <w:sz w:val="24"/>
                <w:szCs w:val="24"/>
              </w:rPr>
            </w:pPr>
            <w:r>
              <w:rPr>
                <w:sz w:val="24"/>
                <w:szCs w:val="24"/>
              </w:rPr>
              <w:t>No</w:t>
            </w:r>
          </w:p>
        </w:tc>
        <w:tc>
          <w:tcPr>
            <w:tcW w:w="2189" w:type="dxa"/>
            <w:tcBorders>
              <w:bottom w:val="single" w:sz="4" w:space="0" w:color="auto"/>
            </w:tcBorders>
            <w:shd w:val="clear" w:color="auto" w:fill="C00000"/>
          </w:tcPr>
          <w:p w:rsidR="007335FD" w:rsidRDefault="00815898">
            <w:pPr>
              <w:pStyle w:val="NoSpacing"/>
              <w:jc w:val="center"/>
              <w:rPr>
                <w:sz w:val="24"/>
                <w:szCs w:val="24"/>
              </w:rPr>
            </w:pPr>
            <w:r>
              <w:rPr>
                <w:sz w:val="24"/>
                <w:szCs w:val="24"/>
              </w:rPr>
              <w:t>INDIKATOR KINERJA</w:t>
            </w:r>
          </w:p>
        </w:tc>
        <w:tc>
          <w:tcPr>
            <w:tcW w:w="1493" w:type="dxa"/>
            <w:tcBorders>
              <w:bottom w:val="single" w:sz="4" w:space="0" w:color="auto"/>
            </w:tcBorders>
            <w:shd w:val="clear" w:color="auto" w:fill="C00000"/>
          </w:tcPr>
          <w:p w:rsidR="007335FD" w:rsidRDefault="00815898">
            <w:pPr>
              <w:pStyle w:val="NoSpacing"/>
              <w:jc w:val="center"/>
              <w:rPr>
                <w:sz w:val="24"/>
                <w:szCs w:val="24"/>
              </w:rPr>
            </w:pPr>
            <w:r>
              <w:rPr>
                <w:sz w:val="24"/>
                <w:szCs w:val="24"/>
              </w:rPr>
              <w:t>SATUAN</w:t>
            </w:r>
          </w:p>
        </w:tc>
        <w:tc>
          <w:tcPr>
            <w:tcW w:w="1495" w:type="dxa"/>
            <w:tcBorders>
              <w:bottom w:val="single" w:sz="4" w:space="0" w:color="auto"/>
            </w:tcBorders>
            <w:shd w:val="clear" w:color="auto" w:fill="C00000"/>
          </w:tcPr>
          <w:p w:rsidR="007335FD" w:rsidRDefault="00815898">
            <w:pPr>
              <w:pStyle w:val="NoSpacing"/>
              <w:jc w:val="center"/>
              <w:rPr>
                <w:sz w:val="24"/>
                <w:szCs w:val="24"/>
              </w:rPr>
            </w:pPr>
            <w:r>
              <w:rPr>
                <w:sz w:val="24"/>
                <w:szCs w:val="24"/>
              </w:rPr>
              <w:t>TARGET</w:t>
            </w:r>
          </w:p>
        </w:tc>
        <w:tc>
          <w:tcPr>
            <w:tcW w:w="1516" w:type="dxa"/>
            <w:tcBorders>
              <w:bottom w:val="single" w:sz="4" w:space="0" w:color="auto"/>
            </w:tcBorders>
            <w:shd w:val="clear" w:color="auto" w:fill="C00000"/>
          </w:tcPr>
          <w:p w:rsidR="007335FD" w:rsidRDefault="00815898">
            <w:pPr>
              <w:pStyle w:val="NoSpacing"/>
              <w:jc w:val="center"/>
              <w:rPr>
                <w:sz w:val="24"/>
                <w:szCs w:val="24"/>
              </w:rPr>
            </w:pPr>
            <w:r>
              <w:rPr>
                <w:sz w:val="24"/>
                <w:szCs w:val="24"/>
              </w:rPr>
              <w:t>REALISASI</w:t>
            </w:r>
          </w:p>
        </w:tc>
        <w:tc>
          <w:tcPr>
            <w:tcW w:w="1721" w:type="dxa"/>
            <w:tcBorders>
              <w:bottom w:val="single" w:sz="4" w:space="0" w:color="auto"/>
            </w:tcBorders>
            <w:shd w:val="clear" w:color="auto" w:fill="C00000"/>
          </w:tcPr>
          <w:p w:rsidR="007335FD" w:rsidRDefault="00815898">
            <w:pPr>
              <w:pStyle w:val="NoSpacing"/>
              <w:jc w:val="center"/>
              <w:rPr>
                <w:sz w:val="24"/>
                <w:szCs w:val="24"/>
              </w:rPr>
            </w:pPr>
            <w:r>
              <w:rPr>
                <w:sz w:val="24"/>
                <w:szCs w:val="24"/>
              </w:rPr>
              <w:t>% CAPAIAN</w:t>
            </w:r>
          </w:p>
        </w:tc>
      </w:tr>
      <w:tr w:rsidR="007335FD">
        <w:trPr>
          <w:trHeight w:val="1972"/>
        </w:trPr>
        <w:tc>
          <w:tcPr>
            <w:tcW w:w="549" w:type="dxa"/>
            <w:shd w:val="clear" w:color="auto" w:fill="auto"/>
          </w:tcPr>
          <w:p w:rsidR="007335FD" w:rsidRDefault="00815898">
            <w:pPr>
              <w:pStyle w:val="NoSpacing"/>
              <w:jc w:val="center"/>
              <w:rPr>
                <w:sz w:val="24"/>
                <w:szCs w:val="24"/>
              </w:rPr>
            </w:pPr>
            <w:r>
              <w:rPr>
                <w:sz w:val="24"/>
                <w:szCs w:val="24"/>
              </w:rPr>
              <w:t>1</w:t>
            </w: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2</w:t>
            </w:r>
          </w:p>
          <w:p w:rsidR="007335FD" w:rsidRDefault="007335FD">
            <w:pPr>
              <w:pStyle w:val="NoSpacing"/>
              <w:rPr>
                <w:sz w:val="24"/>
                <w:szCs w:val="24"/>
              </w:rPr>
            </w:pPr>
          </w:p>
        </w:tc>
        <w:tc>
          <w:tcPr>
            <w:tcW w:w="2189"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Nilai evaluasi akuntabilitas kinerja</w:t>
            </w:r>
          </w:p>
          <w:p w:rsidR="007335FD" w:rsidRDefault="00815898">
            <w:pPr>
              <w:pStyle w:val="NoSpacing"/>
              <w:jc w:val="left"/>
              <w:rPr>
                <w:color w:val="000000" w:themeColor="text1"/>
                <w:sz w:val="24"/>
                <w:szCs w:val="24"/>
              </w:rPr>
            </w:pPr>
            <w:r>
              <w:rPr>
                <w:color w:val="000000" w:themeColor="text1"/>
                <w:sz w:val="24"/>
                <w:szCs w:val="24"/>
              </w:rPr>
              <w:t>Persentase capaian realisasi fisik dan keuangan pelaksanaan program/kegiatan</w:t>
            </w:r>
          </w:p>
          <w:p w:rsidR="007335FD" w:rsidRDefault="007335FD">
            <w:pPr>
              <w:pStyle w:val="NoSpacing"/>
              <w:rPr>
                <w:sz w:val="24"/>
                <w:szCs w:val="24"/>
              </w:rPr>
            </w:pPr>
          </w:p>
        </w:tc>
        <w:tc>
          <w:tcPr>
            <w:tcW w:w="1493" w:type="dxa"/>
            <w:shd w:val="clear" w:color="auto" w:fill="auto"/>
          </w:tcPr>
          <w:p w:rsidR="007335FD" w:rsidRDefault="00815898">
            <w:pPr>
              <w:pStyle w:val="NoSpacing"/>
              <w:jc w:val="center"/>
              <w:rPr>
                <w:sz w:val="24"/>
                <w:szCs w:val="24"/>
              </w:rPr>
            </w:pPr>
            <w:r>
              <w:rPr>
                <w:sz w:val="24"/>
                <w:szCs w:val="24"/>
              </w:rPr>
              <w:t>Nilai</w:t>
            </w: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w:t>
            </w: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w:t>
            </w:r>
          </w:p>
          <w:p w:rsidR="007335FD" w:rsidRDefault="007335FD">
            <w:pPr>
              <w:pStyle w:val="NoSpacing"/>
              <w:rPr>
                <w:sz w:val="24"/>
                <w:szCs w:val="24"/>
              </w:rPr>
            </w:pPr>
          </w:p>
        </w:tc>
        <w:tc>
          <w:tcPr>
            <w:tcW w:w="1495" w:type="dxa"/>
            <w:shd w:val="clear" w:color="auto" w:fill="auto"/>
          </w:tcPr>
          <w:p w:rsidR="007335FD" w:rsidRDefault="00815898">
            <w:pPr>
              <w:pStyle w:val="NoSpacing"/>
              <w:jc w:val="center"/>
              <w:rPr>
                <w:sz w:val="24"/>
                <w:szCs w:val="24"/>
              </w:rPr>
            </w:pPr>
            <w:r>
              <w:rPr>
                <w:sz w:val="24"/>
                <w:szCs w:val="24"/>
              </w:rPr>
              <w:t>BB</w:t>
            </w:r>
          </w:p>
          <w:p w:rsidR="007335FD" w:rsidRDefault="00815898">
            <w:pPr>
              <w:pStyle w:val="NoSpacing"/>
              <w:jc w:val="center"/>
              <w:rPr>
                <w:sz w:val="24"/>
                <w:szCs w:val="24"/>
              </w:rPr>
            </w:pPr>
            <w:r>
              <w:rPr>
                <w:sz w:val="24"/>
                <w:szCs w:val="24"/>
              </w:rPr>
              <w:t>(74)</w:t>
            </w:r>
          </w:p>
          <w:p w:rsidR="007335FD" w:rsidRDefault="00815898">
            <w:pPr>
              <w:pStyle w:val="NoSpacing"/>
              <w:jc w:val="center"/>
              <w:rPr>
                <w:sz w:val="24"/>
                <w:szCs w:val="24"/>
              </w:rPr>
            </w:pPr>
            <w:r>
              <w:rPr>
                <w:sz w:val="24"/>
                <w:szCs w:val="24"/>
              </w:rPr>
              <w:t>95</w:t>
            </w:r>
          </w:p>
          <w:p w:rsidR="007335FD" w:rsidRDefault="00815898">
            <w:pPr>
              <w:pStyle w:val="NoSpacing"/>
              <w:jc w:val="center"/>
              <w:rPr>
                <w:sz w:val="24"/>
                <w:szCs w:val="24"/>
              </w:rPr>
            </w:pPr>
            <w:r>
              <w:rPr>
                <w:sz w:val="24"/>
                <w:szCs w:val="24"/>
              </w:rPr>
              <w:t>(fisik)</w:t>
            </w:r>
          </w:p>
          <w:p w:rsidR="007335FD" w:rsidRDefault="00815898">
            <w:pPr>
              <w:pStyle w:val="NoSpacing"/>
              <w:jc w:val="center"/>
              <w:rPr>
                <w:sz w:val="24"/>
                <w:szCs w:val="24"/>
              </w:rPr>
            </w:pPr>
            <w:r>
              <w:rPr>
                <w:sz w:val="24"/>
                <w:szCs w:val="24"/>
              </w:rPr>
              <w:t>95 (keuangan)</w:t>
            </w:r>
          </w:p>
          <w:p w:rsidR="007335FD" w:rsidRDefault="007335FD">
            <w:pPr>
              <w:pStyle w:val="NoSpacing"/>
              <w:jc w:val="center"/>
              <w:rPr>
                <w:sz w:val="24"/>
                <w:szCs w:val="24"/>
              </w:rPr>
            </w:pPr>
          </w:p>
        </w:tc>
        <w:tc>
          <w:tcPr>
            <w:tcW w:w="1516" w:type="dxa"/>
            <w:shd w:val="clear" w:color="auto" w:fill="auto"/>
          </w:tcPr>
          <w:p w:rsidR="007335FD" w:rsidRDefault="00815898">
            <w:pPr>
              <w:pStyle w:val="NoSpacing"/>
              <w:jc w:val="center"/>
              <w:rPr>
                <w:sz w:val="24"/>
                <w:szCs w:val="24"/>
              </w:rPr>
            </w:pPr>
            <w:r>
              <w:rPr>
                <w:sz w:val="24"/>
                <w:szCs w:val="24"/>
              </w:rPr>
              <w:t>B</w:t>
            </w:r>
          </w:p>
          <w:p w:rsidR="007335FD" w:rsidRDefault="00815898">
            <w:pPr>
              <w:pStyle w:val="NoSpacing"/>
              <w:jc w:val="center"/>
              <w:rPr>
                <w:sz w:val="24"/>
                <w:szCs w:val="24"/>
              </w:rPr>
            </w:pPr>
            <w:r>
              <w:rPr>
                <w:sz w:val="24"/>
                <w:szCs w:val="24"/>
              </w:rPr>
              <w:t>(62,50)</w:t>
            </w:r>
          </w:p>
          <w:p w:rsidR="007335FD" w:rsidRDefault="00815898">
            <w:pPr>
              <w:pStyle w:val="NoSpacing"/>
              <w:jc w:val="center"/>
              <w:rPr>
                <w:color w:val="000000" w:themeColor="text1"/>
                <w:sz w:val="24"/>
                <w:szCs w:val="24"/>
              </w:rPr>
            </w:pPr>
            <w:r>
              <w:rPr>
                <w:color w:val="000000" w:themeColor="text1"/>
                <w:sz w:val="24"/>
                <w:szCs w:val="24"/>
              </w:rPr>
              <w:t>99,81</w:t>
            </w:r>
          </w:p>
          <w:p w:rsidR="007335FD" w:rsidRDefault="007335FD">
            <w:pPr>
              <w:pStyle w:val="NoSpacing"/>
              <w:jc w:val="center"/>
              <w:rPr>
                <w:color w:val="000000" w:themeColor="text1"/>
                <w:sz w:val="24"/>
                <w:szCs w:val="24"/>
              </w:rPr>
            </w:pPr>
          </w:p>
          <w:p w:rsidR="007335FD" w:rsidRDefault="00815898">
            <w:pPr>
              <w:pStyle w:val="NoSpacing"/>
              <w:jc w:val="center"/>
              <w:rPr>
                <w:color w:val="000000" w:themeColor="text1"/>
                <w:sz w:val="24"/>
                <w:szCs w:val="24"/>
              </w:rPr>
            </w:pPr>
            <w:r>
              <w:rPr>
                <w:color w:val="000000" w:themeColor="text1"/>
                <w:sz w:val="24"/>
                <w:szCs w:val="24"/>
              </w:rPr>
              <w:t>96,19</w:t>
            </w:r>
          </w:p>
          <w:p w:rsidR="007335FD" w:rsidRDefault="007335FD">
            <w:pPr>
              <w:pStyle w:val="NoSpacing"/>
              <w:jc w:val="center"/>
              <w:rPr>
                <w:sz w:val="24"/>
                <w:szCs w:val="24"/>
              </w:rPr>
            </w:pPr>
          </w:p>
        </w:tc>
        <w:tc>
          <w:tcPr>
            <w:tcW w:w="1721" w:type="dxa"/>
            <w:shd w:val="clear" w:color="auto" w:fill="auto"/>
          </w:tcPr>
          <w:p w:rsidR="007335FD" w:rsidRDefault="00815898">
            <w:pPr>
              <w:pStyle w:val="NoSpacing"/>
              <w:jc w:val="center"/>
              <w:rPr>
                <w:sz w:val="24"/>
                <w:szCs w:val="24"/>
              </w:rPr>
            </w:pPr>
            <w:r>
              <w:rPr>
                <w:sz w:val="24"/>
                <w:szCs w:val="24"/>
              </w:rPr>
              <w:t>-</w:t>
            </w:r>
          </w:p>
          <w:p w:rsidR="007335FD" w:rsidRDefault="00815898">
            <w:pPr>
              <w:pStyle w:val="NoSpacing"/>
              <w:jc w:val="center"/>
              <w:rPr>
                <w:sz w:val="24"/>
                <w:szCs w:val="24"/>
              </w:rPr>
            </w:pPr>
            <w:r>
              <w:rPr>
                <w:sz w:val="24"/>
                <w:szCs w:val="24"/>
              </w:rPr>
              <w:t>84,45%</w:t>
            </w:r>
          </w:p>
          <w:p w:rsidR="007335FD" w:rsidRDefault="00815898">
            <w:pPr>
              <w:pStyle w:val="NoSpacing"/>
              <w:jc w:val="center"/>
              <w:rPr>
                <w:sz w:val="24"/>
                <w:szCs w:val="24"/>
              </w:rPr>
            </w:pPr>
            <w:r>
              <w:rPr>
                <w:sz w:val="24"/>
                <w:szCs w:val="24"/>
              </w:rPr>
              <w:t>105,06</w:t>
            </w: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101,25</w:t>
            </w:r>
          </w:p>
          <w:p w:rsidR="007335FD" w:rsidRDefault="007335FD">
            <w:pPr>
              <w:pStyle w:val="NoSpacing"/>
              <w:jc w:val="center"/>
              <w:rPr>
                <w:sz w:val="24"/>
                <w:szCs w:val="24"/>
              </w:rPr>
            </w:pPr>
          </w:p>
          <w:p w:rsidR="007335FD" w:rsidRDefault="007335FD">
            <w:pPr>
              <w:pStyle w:val="NoSpacing"/>
              <w:jc w:val="center"/>
              <w:rPr>
                <w:sz w:val="24"/>
                <w:szCs w:val="24"/>
              </w:rPr>
            </w:pPr>
          </w:p>
        </w:tc>
      </w:tr>
    </w:tbl>
    <w:p w:rsidR="007335FD" w:rsidRDefault="00851EC5">
      <w:pPr>
        <w:autoSpaceDE w:val="0"/>
        <w:autoSpaceDN w:val="0"/>
        <w:adjustRightInd w:val="0"/>
        <w:spacing w:line="360" w:lineRule="auto"/>
        <w:rPr>
          <w:b/>
          <w:color w:val="000000" w:themeColor="text1"/>
          <w:sz w:val="24"/>
          <w:szCs w:val="24"/>
        </w:rPr>
      </w:pPr>
      <w:r>
        <w:pict>
          <v:roundrect id="_x0000_s1053" style="position:absolute;margin-left:21.5pt;margin-top:28.4pt;width:442.65pt;height:35.1pt;z-index:251699200;mso-position-horizontal-relative:text;mso-position-vertical-relative:text;mso-width-relative:page;mso-height-relative:page" arcsize="10923f" fillcolor="#c00000" strokecolor="#f2f2f2" strokeweight="3pt">
            <v:shadow on="t" type="perspective" color="#4f6228" opacity=".5" offset="1pt" offset2="-1pt,-2pt"/>
            <v:textbox>
              <w:txbxContent>
                <w:p w:rsidR="00815898" w:rsidRDefault="00815898">
                  <w:pPr>
                    <w:rPr>
                      <w:b/>
                      <w:sz w:val="28"/>
                      <w:szCs w:val="28"/>
                    </w:rPr>
                  </w:pPr>
                  <w:r>
                    <w:rPr>
                      <w:b/>
                      <w:sz w:val="28"/>
                      <w:szCs w:val="28"/>
                    </w:rPr>
                    <w:t>1.1 Nilai Evaluasi Akuntabilitas Kinerja</w:t>
                  </w:r>
                </w:p>
              </w:txbxContent>
            </v:textbox>
          </v:roundrect>
        </w:pict>
      </w:r>
    </w:p>
    <w:p w:rsidR="007335FD" w:rsidRDefault="007335FD">
      <w:pPr>
        <w:autoSpaceDE w:val="0"/>
        <w:autoSpaceDN w:val="0"/>
        <w:adjustRightInd w:val="0"/>
        <w:spacing w:line="360" w:lineRule="auto"/>
        <w:rPr>
          <w:b/>
          <w:color w:val="000000" w:themeColor="text1"/>
          <w:sz w:val="24"/>
          <w:szCs w:val="24"/>
        </w:rPr>
      </w:pPr>
    </w:p>
    <w:p w:rsidR="007335FD" w:rsidRDefault="007335FD">
      <w:pPr>
        <w:autoSpaceDE w:val="0"/>
        <w:autoSpaceDN w:val="0"/>
        <w:adjustRightInd w:val="0"/>
        <w:spacing w:after="0" w:line="360" w:lineRule="auto"/>
        <w:ind w:firstLine="720"/>
        <w:jc w:val="both"/>
        <w:rPr>
          <w:rFonts w:cs="Arial"/>
          <w:sz w:val="24"/>
          <w:szCs w:val="24"/>
        </w:rPr>
      </w:pPr>
    </w:p>
    <w:p w:rsidR="007335FD" w:rsidRDefault="00815898">
      <w:pPr>
        <w:autoSpaceDE w:val="0"/>
        <w:autoSpaceDN w:val="0"/>
        <w:adjustRightInd w:val="0"/>
        <w:spacing w:after="0" w:line="360" w:lineRule="auto"/>
        <w:ind w:leftChars="200" w:left="440" w:firstLine="660"/>
        <w:jc w:val="both"/>
        <w:rPr>
          <w:rFonts w:hAnsi="Tahoma" w:cs="Tahoma"/>
          <w:sz w:val="24"/>
          <w:szCs w:val="24"/>
        </w:rPr>
      </w:pPr>
      <w:r>
        <w:rPr>
          <w:rFonts w:hAnsi="Tahoma" w:cs="Tahoma"/>
          <w:sz w:val="24"/>
          <w:szCs w:val="24"/>
        </w:rPr>
        <w:t xml:space="preserve">Sesuai dengan Peraturan Menteri Pendayagunaan Aparatur Negara dan Reformasi Birokrasi Republik Indonesia Nomor 53 tahun 2014 tentang Petunjuk Teknis Perjanjian Kinerja, Pelaporan Kinerja dan Tata cara reviu atas Laporan Kinerja Instansi Pemerintah, Badan Kesatuan Bangsa dan Politik Provinsi Sumatera Barat telah menyusun Laporan Kinerja dan selanjutnya telah dilakukan evaluasi oleh Inspektorat Daerah. </w:t>
      </w:r>
      <w:proofErr w:type="gramStart"/>
      <w:r>
        <w:rPr>
          <w:rFonts w:hAnsi="Tahoma" w:cs="Tahoma"/>
          <w:sz w:val="24"/>
          <w:szCs w:val="24"/>
        </w:rPr>
        <w:t>Evaluasi dilaksanakan dengan melakukan reviu dan wawancara terhadap penerapan manajemen kinerja pada Badan Kesatuan Bangsa dan Politik.</w:t>
      </w:r>
      <w:proofErr w:type="gramEnd"/>
      <w:r>
        <w:rPr>
          <w:rFonts w:hAnsi="Tahoma" w:cs="Tahoma"/>
          <w:sz w:val="24"/>
          <w:szCs w:val="24"/>
        </w:rPr>
        <w:t xml:space="preserve"> Inspektorat Daerah melakukan reviu </w:t>
      </w:r>
      <w:r>
        <w:rPr>
          <w:rFonts w:hAnsi="Tahoma" w:cs="Tahoma"/>
          <w:sz w:val="24"/>
          <w:szCs w:val="24"/>
        </w:rPr>
        <w:lastRenderedPageBreak/>
        <w:t xml:space="preserve">terhadap dokumen Renstra, RKT, Perjanjian Kinerja (PK), Indikator Kinerja Utama (IKU) Badan Kesbangpol dan mengevaluasi masing-masing dokumen dengan menilai aspek Perencanaan Kinerja (30%), Pengukuran kinerja (25%), Pelaporan kinerja (15%), Evaluasi internal (10%) dan pencapaian kinerja organisasi (20%). </w:t>
      </w:r>
    </w:p>
    <w:p w:rsidR="007335FD" w:rsidRDefault="00815898">
      <w:pPr>
        <w:autoSpaceDE w:val="0"/>
        <w:autoSpaceDN w:val="0"/>
        <w:adjustRightInd w:val="0"/>
        <w:spacing w:after="0" w:line="360" w:lineRule="auto"/>
        <w:ind w:leftChars="200" w:left="440" w:firstLine="660"/>
        <w:jc w:val="both"/>
        <w:rPr>
          <w:color w:val="000000" w:themeColor="text1"/>
          <w:sz w:val="24"/>
          <w:szCs w:val="24"/>
        </w:rPr>
      </w:pPr>
      <w:r>
        <w:rPr>
          <w:color w:val="000000" w:themeColor="text1"/>
          <w:sz w:val="24"/>
          <w:szCs w:val="24"/>
        </w:rPr>
        <w:t xml:space="preserve">Kategori Penilaian Akuntabilitas Kinerja Instansi Pemerintah yang ditetapkan oleh Inspektorat Provinsi Sumatera Barat dapat dilihat pada tabel </w:t>
      </w:r>
      <w:proofErr w:type="gramStart"/>
      <w:r>
        <w:rPr>
          <w:color w:val="000000" w:themeColor="text1"/>
          <w:sz w:val="24"/>
          <w:szCs w:val="24"/>
        </w:rPr>
        <w:t>berikut :</w:t>
      </w:r>
      <w:proofErr w:type="gramEnd"/>
    </w:p>
    <w:p w:rsidR="007335FD" w:rsidRDefault="00815898">
      <w:pPr>
        <w:pStyle w:val="NoSpacing"/>
        <w:jc w:val="center"/>
        <w:rPr>
          <w:b/>
          <w:bCs/>
          <w:sz w:val="24"/>
          <w:szCs w:val="24"/>
        </w:rPr>
      </w:pPr>
      <w:r>
        <w:rPr>
          <w:b/>
          <w:bCs/>
          <w:sz w:val="24"/>
          <w:szCs w:val="24"/>
        </w:rPr>
        <w:t>Tabel 3.5</w:t>
      </w:r>
    </w:p>
    <w:p w:rsidR="007335FD" w:rsidRDefault="00815898">
      <w:pPr>
        <w:pStyle w:val="NoSpacing"/>
        <w:jc w:val="center"/>
        <w:rPr>
          <w:b/>
          <w:bCs/>
          <w:sz w:val="24"/>
          <w:szCs w:val="24"/>
        </w:rPr>
      </w:pPr>
      <w:r>
        <w:rPr>
          <w:b/>
          <w:bCs/>
          <w:sz w:val="24"/>
          <w:szCs w:val="24"/>
        </w:rPr>
        <w:t>Kategori Keberhasilan Akuntabiltas Kinerja Instansi Pemerintah</w:t>
      </w:r>
    </w:p>
    <w:p w:rsidR="007335FD" w:rsidRDefault="00815898">
      <w:pPr>
        <w:pStyle w:val="NoSpacing"/>
        <w:jc w:val="center"/>
        <w:rPr>
          <w:b/>
          <w:bCs/>
          <w:sz w:val="24"/>
          <w:szCs w:val="24"/>
        </w:rPr>
      </w:pPr>
      <w:r>
        <w:rPr>
          <w:b/>
          <w:bCs/>
          <w:sz w:val="24"/>
          <w:szCs w:val="24"/>
        </w:rPr>
        <w:t>Di lingkungan Pemerintah Provinsi Sumatera Barat</w:t>
      </w:r>
    </w:p>
    <w:tbl>
      <w:tblPr>
        <w:tblStyle w:val="TableGrid"/>
        <w:tblpPr w:leftFromText="180" w:rightFromText="180" w:vertAnchor="text" w:horzAnchor="page" w:tblpX="2007" w:tblpY="288"/>
        <w:tblOverlap w:val="never"/>
        <w:tblW w:w="8962" w:type="dxa"/>
        <w:tblLayout w:type="fixed"/>
        <w:tblLook w:val="04A0" w:firstRow="1" w:lastRow="0" w:firstColumn="1" w:lastColumn="0" w:noHBand="0" w:noVBand="1"/>
      </w:tblPr>
      <w:tblGrid>
        <w:gridCol w:w="675"/>
        <w:gridCol w:w="1276"/>
        <w:gridCol w:w="1559"/>
        <w:gridCol w:w="5452"/>
      </w:tblGrid>
      <w:tr w:rsidR="007335FD">
        <w:tc>
          <w:tcPr>
            <w:tcW w:w="675" w:type="dxa"/>
            <w:shd w:val="clear" w:color="auto" w:fill="C00000"/>
          </w:tcPr>
          <w:p w:rsidR="007335FD" w:rsidRDefault="00815898">
            <w:pPr>
              <w:pStyle w:val="NoSpacing"/>
              <w:jc w:val="center"/>
              <w:rPr>
                <w:sz w:val="24"/>
                <w:szCs w:val="24"/>
              </w:rPr>
            </w:pPr>
            <w:r>
              <w:rPr>
                <w:sz w:val="24"/>
                <w:szCs w:val="24"/>
              </w:rPr>
              <w:t>NO</w:t>
            </w:r>
          </w:p>
        </w:tc>
        <w:tc>
          <w:tcPr>
            <w:tcW w:w="1276" w:type="dxa"/>
            <w:shd w:val="clear" w:color="auto" w:fill="C00000"/>
          </w:tcPr>
          <w:p w:rsidR="007335FD" w:rsidRDefault="00815898">
            <w:pPr>
              <w:pStyle w:val="NoSpacing"/>
              <w:jc w:val="center"/>
              <w:rPr>
                <w:sz w:val="24"/>
                <w:szCs w:val="24"/>
              </w:rPr>
            </w:pPr>
            <w:r>
              <w:rPr>
                <w:sz w:val="24"/>
                <w:szCs w:val="24"/>
              </w:rPr>
              <w:t>KATEGORI</w:t>
            </w:r>
          </w:p>
        </w:tc>
        <w:tc>
          <w:tcPr>
            <w:tcW w:w="1559" w:type="dxa"/>
            <w:shd w:val="clear" w:color="auto" w:fill="C00000"/>
          </w:tcPr>
          <w:p w:rsidR="007335FD" w:rsidRDefault="00815898">
            <w:pPr>
              <w:pStyle w:val="NoSpacing"/>
              <w:jc w:val="center"/>
              <w:rPr>
                <w:sz w:val="24"/>
                <w:szCs w:val="24"/>
              </w:rPr>
            </w:pPr>
            <w:r>
              <w:rPr>
                <w:sz w:val="24"/>
                <w:szCs w:val="24"/>
              </w:rPr>
              <w:t>NILAI ANGKA</w:t>
            </w:r>
          </w:p>
        </w:tc>
        <w:tc>
          <w:tcPr>
            <w:tcW w:w="5452" w:type="dxa"/>
            <w:shd w:val="clear" w:color="auto" w:fill="C00000"/>
          </w:tcPr>
          <w:p w:rsidR="007335FD" w:rsidRDefault="00815898">
            <w:pPr>
              <w:pStyle w:val="NoSpacing"/>
              <w:jc w:val="center"/>
              <w:rPr>
                <w:sz w:val="24"/>
                <w:szCs w:val="24"/>
              </w:rPr>
            </w:pPr>
            <w:r>
              <w:rPr>
                <w:sz w:val="24"/>
                <w:szCs w:val="24"/>
              </w:rPr>
              <w:t>INTERPRETASI</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1</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AA</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&gt;90-100</w:t>
            </w:r>
          </w:p>
        </w:tc>
        <w:tc>
          <w:tcPr>
            <w:tcW w:w="5452" w:type="dxa"/>
          </w:tcPr>
          <w:p w:rsidR="007335FD" w:rsidRDefault="00815898">
            <w:pPr>
              <w:pStyle w:val="NoSpacing"/>
              <w:rPr>
                <w:color w:val="000000" w:themeColor="text1"/>
                <w:sz w:val="24"/>
                <w:szCs w:val="24"/>
              </w:rPr>
            </w:pPr>
            <w:r>
              <w:rPr>
                <w:color w:val="000000" w:themeColor="text1"/>
                <w:sz w:val="24"/>
                <w:szCs w:val="24"/>
              </w:rPr>
              <w:t>Sangat Memuaskan</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2</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A</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&gt;80-90</w:t>
            </w:r>
          </w:p>
        </w:tc>
        <w:tc>
          <w:tcPr>
            <w:tcW w:w="5452" w:type="dxa"/>
          </w:tcPr>
          <w:p w:rsidR="007335FD" w:rsidRDefault="00815898">
            <w:pPr>
              <w:pStyle w:val="NoSpacing"/>
              <w:rPr>
                <w:color w:val="000000" w:themeColor="text1"/>
                <w:sz w:val="24"/>
                <w:szCs w:val="24"/>
              </w:rPr>
            </w:pPr>
            <w:r>
              <w:rPr>
                <w:color w:val="000000" w:themeColor="text1"/>
                <w:sz w:val="24"/>
                <w:szCs w:val="24"/>
              </w:rPr>
              <w:t>Memuaskan,memimpin perubahan, berkinerja tinggi dan sangat akuntabel</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3</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BB</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&gt;70-80</w:t>
            </w:r>
          </w:p>
        </w:tc>
        <w:tc>
          <w:tcPr>
            <w:tcW w:w="5452" w:type="dxa"/>
          </w:tcPr>
          <w:p w:rsidR="007335FD" w:rsidRDefault="00815898">
            <w:pPr>
              <w:pStyle w:val="NoSpacing"/>
              <w:rPr>
                <w:color w:val="000000" w:themeColor="text1"/>
                <w:sz w:val="24"/>
                <w:szCs w:val="24"/>
              </w:rPr>
            </w:pPr>
            <w:r>
              <w:rPr>
                <w:color w:val="000000" w:themeColor="text1"/>
                <w:sz w:val="24"/>
                <w:szCs w:val="24"/>
              </w:rPr>
              <w:t>Sangat baik, akuntabel, berkinerja baik, memiliki sistem manajemen kinerja yang andal</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4</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B</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&gt;60-70</w:t>
            </w:r>
          </w:p>
        </w:tc>
        <w:tc>
          <w:tcPr>
            <w:tcW w:w="5452" w:type="dxa"/>
          </w:tcPr>
          <w:p w:rsidR="007335FD" w:rsidRDefault="00815898">
            <w:pPr>
              <w:pStyle w:val="NoSpacing"/>
              <w:rPr>
                <w:color w:val="000000" w:themeColor="text1"/>
                <w:sz w:val="24"/>
                <w:szCs w:val="24"/>
              </w:rPr>
            </w:pPr>
            <w:r>
              <w:rPr>
                <w:color w:val="000000" w:themeColor="text1"/>
                <w:sz w:val="24"/>
                <w:szCs w:val="24"/>
              </w:rPr>
              <w:t>Baik, akuntabilitas kinerjanya sudah baik, memiliki sistem yang dapat digunakan untuk manajemen kinerja dan perlu sedikit perbaikan</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5</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CC</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&gt;50-60</w:t>
            </w:r>
          </w:p>
        </w:tc>
        <w:tc>
          <w:tcPr>
            <w:tcW w:w="5452" w:type="dxa"/>
          </w:tcPr>
          <w:p w:rsidR="007335FD" w:rsidRDefault="00815898">
            <w:pPr>
              <w:pStyle w:val="NoSpacing"/>
              <w:rPr>
                <w:color w:val="000000" w:themeColor="text1"/>
                <w:sz w:val="24"/>
                <w:szCs w:val="24"/>
              </w:rPr>
            </w:pPr>
            <w:r>
              <w:rPr>
                <w:color w:val="000000" w:themeColor="text1"/>
                <w:sz w:val="24"/>
                <w:szCs w:val="24"/>
              </w:rPr>
              <w:t>Cukup (Memadai), akuntabilitas kinerjanya sudah cukup baik, taat kebijakan, memiliki sistem yang dapat digunakan untuk memproduksi informasi kinerja untuk pertanggungjawaban, perlu banyak perbaikan tidak mendasar</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6</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C</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&gt;30-50</w:t>
            </w:r>
          </w:p>
        </w:tc>
        <w:tc>
          <w:tcPr>
            <w:tcW w:w="5452" w:type="dxa"/>
          </w:tcPr>
          <w:p w:rsidR="007335FD" w:rsidRDefault="00815898">
            <w:pPr>
              <w:pStyle w:val="NoSpacing"/>
              <w:rPr>
                <w:color w:val="000000" w:themeColor="text1"/>
                <w:sz w:val="24"/>
                <w:szCs w:val="24"/>
              </w:rPr>
            </w:pPr>
            <w:r>
              <w:rPr>
                <w:color w:val="000000" w:themeColor="text1"/>
                <w:sz w:val="24"/>
                <w:szCs w:val="24"/>
              </w:rPr>
              <w:t>Kurang, system dan tatanan kurang dapat diandalkan, memiliki system untuk manajemen kinerja tapi perlu banyak perbaikan monitor dan perbaikan yang mendasar</w:t>
            </w:r>
          </w:p>
        </w:tc>
      </w:tr>
      <w:tr w:rsidR="007335FD">
        <w:tc>
          <w:tcPr>
            <w:tcW w:w="675" w:type="dxa"/>
          </w:tcPr>
          <w:p w:rsidR="007335FD" w:rsidRDefault="00815898">
            <w:pPr>
              <w:pStyle w:val="NoSpacing"/>
              <w:jc w:val="center"/>
              <w:rPr>
                <w:color w:val="000000" w:themeColor="text1"/>
                <w:sz w:val="24"/>
                <w:szCs w:val="24"/>
              </w:rPr>
            </w:pPr>
            <w:r>
              <w:rPr>
                <w:color w:val="000000" w:themeColor="text1"/>
                <w:sz w:val="24"/>
                <w:szCs w:val="24"/>
              </w:rPr>
              <w:t>7</w:t>
            </w:r>
          </w:p>
        </w:tc>
        <w:tc>
          <w:tcPr>
            <w:tcW w:w="1276" w:type="dxa"/>
          </w:tcPr>
          <w:p w:rsidR="007335FD" w:rsidRDefault="00815898">
            <w:pPr>
              <w:pStyle w:val="NoSpacing"/>
              <w:jc w:val="center"/>
              <w:rPr>
                <w:color w:val="000000" w:themeColor="text1"/>
                <w:sz w:val="24"/>
                <w:szCs w:val="24"/>
              </w:rPr>
            </w:pPr>
            <w:r>
              <w:rPr>
                <w:color w:val="000000" w:themeColor="text1"/>
                <w:sz w:val="24"/>
                <w:szCs w:val="24"/>
              </w:rPr>
              <w:t>D</w:t>
            </w:r>
          </w:p>
        </w:tc>
        <w:tc>
          <w:tcPr>
            <w:tcW w:w="1559" w:type="dxa"/>
          </w:tcPr>
          <w:p w:rsidR="007335FD" w:rsidRDefault="00815898">
            <w:pPr>
              <w:pStyle w:val="NoSpacing"/>
              <w:jc w:val="center"/>
              <w:rPr>
                <w:color w:val="000000" w:themeColor="text1"/>
                <w:sz w:val="24"/>
                <w:szCs w:val="24"/>
              </w:rPr>
            </w:pPr>
            <w:r>
              <w:rPr>
                <w:color w:val="000000" w:themeColor="text1"/>
                <w:sz w:val="24"/>
                <w:szCs w:val="24"/>
              </w:rPr>
              <w:t>0-30</w:t>
            </w:r>
          </w:p>
        </w:tc>
        <w:tc>
          <w:tcPr>
            <w:tcW w:w="5452" w:type="dxa"/>
          </w:tcPr>
          <w:p w:rsidR="007335FD" w:rsidRDefault="00815898">
            <w:pPr>
              <w:pStyle w:val="NoSpacing"/>
              <w:rPr>
                <w:color w:val="000000" w:themeColor="text1"/>
                <w:sz w:val="24"/>
                <w:szCs w:val="24"/>
              </w:rPr>
            </w:pPr>
            <w:r>
              <w:rPr>
                <w:color w:val="000000" w:themeColor="text1"/>
                <w:sz w:val="24"/>
                <w:szCs w:val="24"/>
              </w:rPr>
              <w:t>Sangat kurang, system tatanan tidak dapat diandalkan untuk penerapan manajemen kinerja, perlu banyak perbaikan, sebagian perubahan sangat mendasar.</w:t>
            </w:r>
          </w:p>
        </w:tc>
      </w:tr>
    </w:tbl>
    <w:p w:rsidR="007335FD" w:rsidRDefault="007335FD">
      <w:pPr>
        <w:autoSpaceDE w:val="0"/>
        <w:autoSpaceDN w:val="0"/>
        <w:adjustRightInd w:val="0"/>
        <w:spacing w:after="0" w:line="360" w:lineRule="auto"/>
        <w:ind w:leftChars="200" w:left="440" w:firstLine="660"/>
        <w:jc w:val="both"/>
        <w:rPr>
          <w:rFonts w:hAnsi="Tahoma" w:cs="Tahoma"/>
          <w:sz w:val="24"/>
          <w:szCs w:val="24"/>
        </w:rPr>
      </w:pPr>
    </w:p>
    <w:p w:rsidR="007335FD" w:rsidRDefault="00815898">
      <w:pPr>
        <w:autoSpaceDE w:val="0"/>
        <w:autoSpaceDN w:val="0"/>
        <w:adjustRightInd w:val="0"/>
        <w:spacing w:after="0" w:line="360" w:lineRule="auto"/>
        <w:ind w:leftChars="200" w:left="440" w:firstLine="660"/>
        <w:jc w:val="both"/>
        <w:rPr>
          <w:sz w:val="24"/>
          <w:szCs w:val="24"/>
        </w:rPr>
      </w:pPr>
      <w:r>
        <w:rPr>
          <w:sz w:val="24"/>
          <w:szCs w:val="24"/>
        </w:rPr>
        <w:t xml:space="preserve">Hasil evaluasi akuntabilitas kinerja Badan Kesbangpol tahun 2017 yang keluar pada tahun 2018 dituangkan dalam bentuk nilai dengan kisaran mulai dari 0 s.d. 100. </w:t>
      </w:r>
      <w:r>
        <w:rPr>
          <w:rFonts w:cs="Arial"/>
          <w:sz w:val="24"/>
          <w:szCs w:val="24"/>
        </w:rPr>
        <w:t xml:space="preserve">Dari tabel 3.4 dapat dilihat bahwa untuk indikator pertama, ditargetkan nilai evaluasi akuntabilitas kinerja Badan Kesbangpol tahun 2017 yang dikeluarkan pada tahun 2018 adalah BB (74). </w:t>
      </w:r>
      <w:r>
        <w:rPr>
          <w:sz w:val="24"/>
          <w:szCs w:val="24"/>
        </w:rPr>
        <w:t>Berdasarkan Laporan Hasil Evaluasi Akuntabilitas Kinerja Badan Kesatuan Bangsa dan Politik Prov Sumbar Tahun 2017 Nomor 700/50-Insp-SAU/2018 bulan April 2018, Badan Kesatuan Bangsa dan Politik Prov Sumbar memperoleh nilai yaitu sebesar 62</w:t>
      </w:r>
      <w:proofErr w:type="gramStart"/>
      <w:r>
        <w:rPr>
          <w:sz w:val="24"/>
          <w:szCs w:val="24"/>
        </w:rPr>
        <w:t>,50</w:t>
      </w:r>
      <w:proofErr w:type="gramEnd"/>
      <w:r>
        <w:rPr>
          <w:sz w:val="24"/>
          <w:szCs w:val="24"/>
        </w:rPr>
        <w:t xml:space="preserve"> (enam </w:t>
      </w:r>
      <w:r>
        <w:rPr>
          <w:sz w:val="24"/>
          <w:szCs w:val="24"/>
        </w:rPr>
        <w:lastRenderedPageBreak/>
        <w:t>puluh dua koma lima puluh) kategori B dengan interpretasi BAIK, Akuntabilitasnya sudah baik, memiliki sistem yang sudah dapat digunakan untuk manajemen kinerja dan perlu sedikit perbaikan.</w:t>
      </w: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Nilai sebagaimana tersebut merupakan akumulasi penilaian terhadap seluruh komponen manajemen kinerja yang dievaluasi di lingkungan Badan Kesbangpol </w:t>
      </w:r>
      <w:proofErr w:type="gramStart"/>
      <w:r>
        <w:rPr>
          <w:rFonts w:cs="Cambria"/>
          <w:sz w:val="24"/>
          <w:szCs w:val="24"/>
        </w:rPr>
        <w:t>Provinsi  Sumatera</w:t>
      </w:r>
      <w:proofErr w:type="gramEnd"/>
      <w:r>
        <w:rPr>
          <w:rFonts w:cs="Cambria"/>
          <w:sz w:val="24"/>
          <w:szCs w:val="24"/>
        </w:rPr>
        <w:t xml:space="preserve"> Barat. Jika dibandingkan dengan tahun-tahun sebelumnya, terjadi kenaikan nilai evaluasi akuntabilitas kinerja Badan Kesbangpol dari tahun sebelumnya dengan rincian sebagai </w:t>
      </w:r>
      <w:proofErr w:type="gramStart"/>
      <w:r>
        <w:rPr>
          <w:rFonts w:cs="Cambria"/>
          <w:sz w:val="24"/>
          <w:szCs w:val="24"/>
        </w:rPr>
        <w:t>berikut :</w:t>
      </w:r>
      <w:proofErr w:type="gramEnd"/>
    </w:p>
    <w:p w:rsidR="007335FD" w:rsidRDefault="00815898">
      <w:pPr>
        <w:pStyle w:val="NoSpacing"/>
        <w:jc w:val="center"/>
        <w:rPr>
          <w:b/>
          <w:bCs/>
          <w:sz w:val="24"/>
          <w:szCs w:val="24"/>
        </w:rPr>
      </w:pPr>
      <w:r>
        <w:rPr>
          <w:b/>
          <w:bCs/>
          <w:sz w:val="24"/>
          <w:szCs w:val="24"/>
        </w:rPr>
        <w:t>Tabel 3.6</w:t>
      </w:r>
    </w:p>
    <w:p w:rsidR="007335FD" w:rsidRDefault="00815898">
      <w:pPr>
        <w:pStyle w:val="NoSpacing"/>
        <w:jc w:val="center"/>
        <w:rPr>
          <w:b/>
          <w:bCs/>
          <w:sz w:val="24"/>
          <w:szCs w:val="24"/>
        </w:rPr>
      </w:pPr>
      <w:r>
        <w:rPr>
          <w:b/>
          <w:bCs/>
          <w:sz w:val="24"/>
          <w:szCs w:val="24"/>
        </w:rPr>
        <w:t>Perbandingan Nilai Evaluasi Akuntabilitas Kinerja Badan Kesbangpol</w:t>
      </w:r>
    </w:p>
    <w:p w:rsidR="007335FD" w:rsidRDefault="00815898">
      <w:pPr>
        <w:pStyle w:val="NoSpacing"/>
        <w:jc w:val="center"/>
        <w:rPr>
          <w:b/>
          <w:bCs/>
          <w:sz w:val="24"/>
          <w:szCs w:val="24"/>
        </w:rPr>
      </w:pPr>
      <w:r>
        <w:rPr>
          <w:b/>
          <w:bCs/>
          <w:sz w:val="24"/>
          <w:szCs w:val="24"/>
        </w:rPr>
        <w:t>Prov Sumbar Tahun 2016-2018</w:t>
      </w:r>
    </w:p>
    <w:tbl>
      <w:tblPr>
        <w:tblStyle w:val="TableGrid"/>
        <w:tblW w:w="8612" w:type="dxa"/>
        <w:tblInd w:w="539" w:type="dxa"/>
        <w:tblLayout w:type="fixed"/>
        <w:tblLook w:val="04A0" w:firstRow="1" w:lastRow="0" w:firstColumn="1" w:lastColumn="0" w:noHBand="0" w:noVBand="1"/>
      </w:tblPr>
      <w:tblGrid>
        <w:gridCol w:w="878"/>
        <w:gridCol w:w="2900"/>
        <w:gridCol w:w="1856"/>
        <w:gridCol w:w="1489"/>
        <w:gridCol w:w="1489"/>
      </w:tblGrid>
      <w:tr w:rsidR="007335FD">
        <w:tc>
          <w:tcPr>
            <w:tcW w:w="878" w:type="dxa"/>
            <w:shd w:val="clear" w:color="auto" w:fill="C00000"/>
          </w:tcPr>
          <w:p w:rsidR="007335FD" w:rsidRDefault="00815898">
            <w:pPr>
              <w:pStyle w:val="NoSpacing"/>
              <w:rPr>
                <w:sz w:val="24"/>
                <w:szCs w:val="24"/>
              </w:rPr>
            </w:pPr>
            <w:r>
              <w:rPr>
                <w:sz w:val="24"/>
                <w:szCs w:val="24"/>
              </w:rPr>
              <w:t>NO</w:t>
            </w:r>
          </w:p>
        </w:tc>
        <w:tc>
          <w:tcPr>
            <w:tcW w:w="2900" w:type="dxa"/>
            <w:shd w:val="clear" w:color="auto" w:fill="C00000"/>
          </w:tcPr>
          <w:p w:rsidR="007335FD" w:rsidRDefault="00815898">
            <w:pPr>
              <w:pStyle w:val="NoSpacing"/>
              <w:rPr>
                <w:sz w:val="24"/>
                <w:szCs w:val="24"/>
              </w:rPr>
            </w:pPr>
            <w:r>
              <w:rPr>
                <w:sz w:val="24"/>
                <w:szCs w:val="24"/>
              </w:rPr>
              <w:t>KOMPONEN PENILAIAN</w:t>
            </w:r>
          </w:p>
        </w:tc>
        <w:tc>
          <w:tcPr>
            <w:tcW w:w="1856" w:type="dxa"/>
            <w:shd w:val="clear" w:color="auto" w:fill="C00000"/>
          </w:tcPr>
          <w:p w:rsidR="007335FD" w:rsidRDefault="00815898">
            <w:pPr>
              <w:pStyle w:val="NoSpacing"/>
              <w:jc w:val="center"/>
              <w:rPr>
                <w:sz w:val="24"/>
                <w:szCs w:val="24"/>
              </w:rPr>
            </w:pPr>
            <w:r>
              <w:rPr>
                <w:sz w:val="24"/>
                <w:szCs w:val="24"/>
              </w:rPr>
              <w:t>2016</w:t>
            </w:r>
          </w:p>
        </w:tc>
        <w:tc>
          <w:tcPr>
            <w:tcW w:w="1489" w:type="dxa"/>
            <w:shd w:val="clear" w:color="auto" w:fill="C00000"/>
          </w:tcPr>
          <w:p w:rsidR="007335FD" w:rsidRDefault="00815898">
            <w:pPr>
              <w:pStyle w:val="NoSpacing"/>
              <w:jc w:val="center"/>
              <w:rPr>
                <w:sz w:val="24"/>
                <w:szCs w:val="24"/>
              </w:rPr>
            </w:pPr>
            <w:r>
              <w:rPr>
                <w:sz w:val="24"/>
                <w:szCs w:val="24"/>
              </w:rPr>
              <w:t>2017</w:t>
            </w:r>
          </w:p>
        </w:tc>
        <w:tc>
          <w:tcPr>
            <w:tcW w:w="1489" w:type="dxa"/>
            <w:shd w:val="clear" w:color="auto" w:fill="C00000"/>
          </w:tcPr>
          <w:p w:rsidR="007335FD" w:rsidRDefault="00815898">
            <w:pPr>
              <w:pStyle w:val="NoSpacing"/>
              <w:jc w:val="center"/>
              <w:rPr>
                <w:sz w:val="24"/>
                <w:szCs w:val="24"/>
              </w:rPr>
            </w:pPr>
            <w:r>
              <w:rPr>
                <w:sz w:val="24"/>
                <w:szCs w:val="24"/>
              </w:rPr>
              <w:t>2018</w:t>
            </w:r>
          </w:p>
        </w:tc>
      </w:tr>
      <w:tr w:rsidR="007335FD">
        <w:tc>
          <w:tcPr>
            <w:tcW w:w="878" w:type="dxa"/>
          </w:tcPr>
          <w:p w:rsidR="007335FD" w:rsidRDefault="00815898">
            <w:pPr>
              <w:pStyle w:val="NoSpacing"/>
              <w:rPr>
                <w:sz w:val="24"/>
                <w:szCs w:val="24"/>
              </w:rPr>
            </w:pPr>
            <w:r>
              <w:rPr>
                <w:sz w:val="24"/>
                <w:szCs w:val="24"/>
              </w:rPr>
              <w:t>1</w:t>
            </w:r>
          </w:p>
        </w:tc>
        <w:tc>
          <w:tcPr>
            <w:tcW w:w="2900" w:type="dxa"/>
          </w:tcPr>
          <w:p w:rsidR="007335FD" w:rsidRDefault="00815898">
            <w:pPr>
              <w:pStyle w:val="NoSpacing"/>
              <w:rPr>
                <w:sz w:val="24"/>
                <w:szCs w:val="24"/>
              </w:rPr>
            </w:pPr>
            <w:r>
              <w:rPr>
                <w:sz w:val="24"/>
                <w:szCs w:val="24"/>
              </w:rPr>
              <w:t>Perencanaan Kinerja</w:t>
            </w:r>
          </w:p>
        </w:tc>
        <w:tc>
          <w:tcPr>
            <w:tcW w:w="1856" w:type="dxa"/>
          </w:tcPr>
          <w:p w:rsidR="007335FD" w:rsidRDefault="00815898">
            <w:pPr>
              <w:pStyle w:val="NoSpacing"/>
              <w:jc w:val="center"/>
              <w:rPr>
                <w:sz w:val="24"/>
                <w:szCs w:val="24"/>
              </w:rPr>
            </w:pPr>
            <w:r>
              <w:rPr>
                <w:sz w:val="24"/>
                <w:szCs w:val="24"/>
              </w:rPr>
              <w:t>20,11</w:t>
            </w:r>
          </w:p>
        </w:tc>
        <w:tc>
          <w:tcPr>
            <w:tcW w:w="1489" w:type="dxa"/>
          </w:tcPr>
          <w:p w:rsidR="007335FD" w:rsidRDefault="00815898">
            <w:pPr>
              <w:pStyle w:val="NoSpacing"/>
              <w:jc w:val="center"/>
              <w:rPr>
                <w:sz w:val="24"/>
                <w:szCs w:val="24"/>
              </w:rPr>
            </w:pPr>
            <w:r>
              <w:rPr>
                <w:sz w:val="24"/>
                <w:szCs w:val="24"/>
              </w:rPr>
              <w:t>18,82</w:t>
            </w:r>
          </w:p>
        </w:tc>
        <w:tc>
          <w:tcPr>
            <w:tcW w:w="1489" w:type="dxa"/>
          </w:tcPr>
          <w:p w:rsidR="007335FD" w:rsidRDefault="00815898">
            <w:pPr>
              <w:pStyle w:val="NoSpacing"/>
              <w:jc w:val="center"/>
              <w:rPr>
                <w:sz w:val="24"/>
                <w:szCs w:val="24"/>
              </w:rPr>
            </w:pPr>
            <w:r>
              <w:rPr>
                <w:sz w:val="24"/>
                <w:szCs w:val="24"/>
              </w:rPr>
              <w:t>21,82</w:t>
            </w:r>
          </w:p>
        </w:tc>
      </w:tr>
      <w:tr w:rsidR="007335FD">
        <w:tc>
          <w:tcPr>
            <w:tcW w:w="878" w:type="dxa"/>
          </w:tcPr>
          <w:p w:rsidR="007335FD" w:rsidRDefault="00815898">
            <w:pPr>
              <w:pStyle w:val="NoSpacing"/>
              <w:rPr>
                <w:sz w:val="24"/>
                <w:szCs w:val="24"/>
              </w:rPr>
            </w:pPr>
            <w:r>
              <w:rPr>
                <w:sz w:val="24"/>
                <w:szCs w:val="24"/>
              </w:rPr>
              <w:t>2</w:t>
            </w:r>
          </w:p>
        </w:tc>
        <w:tc>
          <w:tcPr>
            <w:tcW w:w="2900" w:type="dxa"/>
          </w:tcPr>
          <w:p w:rsidR="007335FD" w:rsidRDefault="00815898">
            <w:pPr>
              <w:pStyle w:val="NoSpacing"/>
              <w:rPr>
                <w:sz w:val="24"/>
                <w:szCs w:val="24"/>
              </w:rPr>
            </w:pPr>
            <w:r>
              <w:rPr>
                <w:sz w:val="24"/>
                <w:szCs w:val="24"/>
              </w:rPr>
              <w:t>Pengukuran Kinerja</w:t>
            </w:r>
          </w:p>
        </w:tc>
        <w:tc>
          <w:tcPr>
            <w:tcW w:w="1856" w:type="dxa"/>
          </w:tcPr>
          <w:p w:rsidR="007335FD" w:rsidRDefault="00815898">
            <w:pPr>
              <w:pStyle w:val="NoSpacing"/>
              <w:jc w:val="center"/>
              <w:rPr>
                <w:sz w:val="24"/>
                <w:szCs w:val="24"/>
              </w:rPr>
            </w:pPr>
            <w:r>
              <w:rPr>
                <w:sz w:val="24"/>
                <w:szCs w:val="24"/>
              </w:rPr>
              <w:t>16,81</w:t>
            </w:r>
          </w:p>
        </w:tc>
        <w:tc>
          <w:tcPr>
            <w:tcW w:w="1489" w:type="dxa"/>
          </w:tcPr>
          <w:p w:rsidR="007335FD" w:rsidRDefault="00815898">
            <w:pPr>
              <w:pStyle w:val="NoSpacing"/>
              <w:jc w:val="center"/>
              <w:rPr>
                <w:sz w:val="24"/>
                <w:szCs w:val="24"/>
              </w:rPr>
            </w:pPr>
            <w:r>
              <w:rPr>
                <w:sz w:val="24"/>
                <w:szCs w:val="24"/>
              </w:rPr>
              <w:t>15,83</w:t>
            </w:r>
          </w:p>
        </w:tc>
        <w:tc>
          <w:tcPr>
            <w:tcW w:w="1489" w:type="dxa"/>
          </w:tcPr>
          <w:p w:rsidR="007335FD" w:rsidRDefault="00815898">
            <w:pPr>
              <w:pStyle w:val="NoSpacing"/>
              <w:jc w:val="center"/>
              <w:rPr>
                <w:sz w:val="24"/>
                <w:szCs w:val="24"/>
              </w:rPr>
            </w:pPr>
            <w:r>
              <w:rPr>
                <w:sz w:val="24"/>
                <w:szCs w:val="24"/>
              </w:rPr>
              <w:t>14,10</w:t>
            </w:r>
          </w:p>
        </w:tc>
      </w:tr>
      <w:tr w:rsidR="007335FD">
        <w:tc>
          <w:tcPr>
            <w:tcW w:w="878" w:type="dxa"/>
          </w:tcPr>
          <w:p w:rsidR="007335FD" w:rsidRDefault="00815898">
            <w:pPr>
              <w:pStyle w:val="NoSpacing"/>
              <w:rPr>
                <w:sz w:val="24"/>
                <w:szCs w:val="24"/>
              </w:rPr>
            </w:pPr>
            <w:r>
              <w:rPr>
                <w:sz w:val="24"/>
                <w:szCs w:val="24"/>
              </w:rPr>
              <w:t>3</w:t>
            </w:r>
          </w:p>
        </w:tc>
        <w:tc>
          <w:tcPr>
            <w:tcW w:w="2900" w:type="dxa"/>
          </w:tcPr>
          <w:p w:rsidR="007335FD" w:rsidRDefault="00815898">
            <w:pPr>
              <w:pStyle w:val="NoSpacing"/>
              <w:rPr>
                <w:sz w:val="24"/>
                <w:szCs w:val="24"/>
              </w:rPr>
            </w:pPr>
            <w:r>
              <w:rPr>
                <w:sz w:val="24"/>
                <w:szCs w:val="24"/>
              </w:rPr>
              <w:t>Pelaporan Kinerja</w:t>
            </w:r>
          </w:p>
        </w:tc>
        <w:tc>
          <w:tcPr>
            <w:tcW w:w="1856" w:type="dxa"/>
          </w:tcPr>
          <w:p w:rsidR="007335FD" w:rsidRDefault="00815898">
            <w:pPr>
              <w:pStyle w:val="NoSpacing"/>
              <w:jc w:val="center"/>
              <w:rPr>
                <w:sz w:val="24"/>
                <w:szCs w:val="24"/>
              </w:rPr>
            </w:pPr>
            <w:r>
              <w:rPr>
                <w:sz w:val="24"/>
                <w:szCs w:val="24"/>
              </w:rPr>
              <w:t>10,03</w:t>
            </w:r>
          </w:p>
        </w:tc>
        <w:tc>
          <w:tcPr>
            <w:tcW w:w="1489" w:type="dxa"/>
          </w:tcPr>
          <w:p w:rsidR="007335FD" w:rsidRDefault="00815898">
            <w:pPr>
              <w:pStyle w:val="NoSpacing"/>
              <w:jc w:val="center"/>
              <w:rPr>
                <w:sz w:val="24"/>
                <w:szCs w:val="24"/>
              </w:rPr>
            </w:pPr>
            <w:r>
              <w:rPr>
                <w:sz w:val="24"/>
                <w:szCs w:val="24"/>
              </w:rPr>
              <w:t>9,28</w:t>
            </w:r>
          </w:p>
        </w:tc>
        <w:tc>
          <w:tcPr>
            <w:tcW w:w="1489" w:type="dxa"/>
          </w:tcPr>
          <w:p w:rsidR="007335FD" w:rsidRDefault="00815898">
            <w:pPr>
              <w:pStyle w:val="NoSpacing"/>
              <w:jc w:val="center"/>
              <w:rPr>
                <w:sz w:val="24"/>
                <w:szCs w:val="24"/>
              </w:rPr>
            </w:pPr>
            <w:r>
              <w:rPr>
                <w:sz w:val="24"/>
                <w:szCs w:val="24"/>
              </w:rPr>
              <w:t>10,78</w:t>
            </w:r>
          </w:p>
        </w:tc>
      </w:tr>
      <w:tr w:rsidR="007335FD">
        <w:tc>
          <w:tcPr>
            <w:tcW w:w="878" w:type="dxa"/>
          </w:tcPr>
          <w:p w:rsidR="007335FD" w:rsidRDefault="00815898">
            <w:pPr>
              <w:pStyle w:val="NoSpacing"/>
              <w:rPr>
                <w:sz w:val="24"/>
                <w:szCs w:val="24"/>
              </w:rPr>
            </w:pPr>
            <w:r>
              <w:rPr>
                <w:sz w:val="24"/>
                <w:szCs w:val="24"/>
              </w:rPr>
              <w:t>4</w:t>
            </w:r>
          </w:p>
        </w:tc>
        <w:tc>
          <w:tcPr>
            <w:tcW w:w="2900" w:type="dxa"/>
          </w:tcPr>
          <w:p w:rsidR="007335FD" w:rsidRDefault="00815898">
            <w:pPr>
              <w:pStyle w:val="NoSpacing"/>
              <w:rPr>
                <w:sz w:val="24"/>
                <w:szCs w:val="24"/>
              </w:rPr>
            </w:pPr>
            <w:r>
              <w:rPr>
                <w:sz w:val="24"/>
                <w:szCs w:val="24"/>
              </w:rPr>
              <w:t>Evaluasi Internal</w:t>
            </w:r>
          </w:p>
        </w:tc>
        <w:tc>
          <w:tcPr>
            <w:tcW w:w="1856" w:type="dxa"/>
          </w:tcPr>
          <w:p w:rsidR="007335FD" w:rsidRDefault="00815898">
            <w:pPr>
              <w:pStyle w:val="NoSpacing"/>
              <w:jc w:val="center"/>
              <w:rPr>
                <w:sz w:val="24"/>
                <w:szCs w:val="24"/>
              </w:rPr>
            </w:pPr>
            <w:r>
              <w:rPr>
                <w:sz w:val="24"/>
                <w:szCs w:val="24"/>
              </w:rPr>
              <w:t>6,15</w:t>
            </w:r>
          </w:p>
        </w:tc>
        <w:tc>
          <w:tcPr>
            <w:tcW w:w="1489" w:type="dxa"/>
          </w:tcPr>
          <w:p w:rsidR="007335FD" w:rsidRDefault="00815898">
            <w:pPr>
              <w:pStyle w:val="NoSpacing"/>
              <w:jc w:val="center"/>
              <w:rPr>
                <w:sz w:val="24"/>
                <w:szCs w:val="24"/>
              </w:rPr>
            </w:pPr>
            <w:r>
              <w:rPr>
                <w:sz w:val="24"/>
                <w:szCs w:val="24"/>
              </w:rPr>
              <w:t>6,11</w:t>
            </w:r>
          </w:p>
        </w:tc>
        <w:tc>
          <w:tcPr>
            <w:tcW w:w="1489" w:type="dxa"/>
          </w:tcPr>
          <w:p w:rsidR="007335FD" w:rsidRDefault="00815898">
            <w:pPr>
              <w:pStyle w:val="NoSpacing"/>
              <w:jc w:val="center"/>
              <w:rPr>
                <w:sz w:val="24"/>
                <w:szCs w:val="24"/>
              </w:rPr>
            </w:pPr>
            <w:r>
              <w:rPr>
                <w:sz w:val="24"/>
                <w:szCs w:val="24"/>
              </w:rPr>
              <w:t>6,38</w:t>
            </w:r>
          </w:p>
        </w:tc>
      </w:tr>
      <w:tr w:rsidR="007335FD">
        <w:tc>
          <w:tcPr>
            <w:tcW w:w="878" w:type="dxa"/>
            <w:tcBorders>
              <w:bottom w:val="single" w:sz="4" w:space="0" w:color="auto"/>
            </w:tcBorders>
          </w:tcPr>
          <w:p w:rsidR="007335FD" w:rsidRDefault="00815898">
            <w:pPr>
              <w:pStyle w:val="NoSpacing"/>
              <w:rPr>
                <w:sz w:val="24"/>
                <w:szCs w:val="24"/>
              </w:rPr>
            </w:pPr>
            <w:r>
              <w:rPr>
                <w:sz w:val="24"/>
                <w:szCs w:val="24"/>
              </w:rPr>
              <w:t>5</w:t>
            </w:r>
          </w:p>
        </w:tc>
        <w:tc>
          <w:tcPr>
            <w:tcW w:w="2900" w:type="dxa"/>
            <w:tcBorders>
              <w:bottom w:val="single" w:sz="4" w:space="0" w:color="auto"/>
            </w:tcBorders>
          </w:tcPr>
          <w:p w:rsidR="007335FD" w:rsidRDefault="00815898">
            <w:pPr>
              <w:pStyle w:val="NoSpacing"/>
              <w:jc w:val="left"/>
              <w:rPr>
                <w:sz w:val="24"/>
                <w:szCs w:val="24"/>
              </w:rPr>
            </w:pPr>
            <w:r>
              <w:rPr>
                <w:sz w:val="24"/>
                <w:szCs w:val="24"/>
              </w:rPr>
              <w:t>Pencapaian Sasaran/Kinerja Organisasi</w:t>
            </w:r>
          </w:p>
        </w:tc>
        <w:tc>
          <w:tcPr>
            <w:tcW w:w="1856" w:type="dxa"/>
            <w:tcBorders>
              <w:bottom w:val="single" w:sz="4" w:space="0" w:color="auto"/>
            </w:tcBorders>
          </w:tcPr>
          <w:p w:rsidR="007335FD" w:rsidRDefault="00815898">
            <w:pPr>
              <w:pStyle w:val="NoSpacing"/>
              <w:jc w:val="center"/>
              <w:rPr>
                <w:sz w:val="24"/>
                <w:szCs w:val="24"/>
              </w:rPr>
            </w:pPr>
            <w:r>
              <w:rPr>
                <w:sz w:val="24"/>
                <w:szCs w:val="24"/>
              </w:rPr>
              <w:t>8,25</w:t>
            </w:r>
          </w:p>
        </w:tc>
        <w:tc>
          <w:tcPr>
            <w:tcW w:w="1489" w:type="dxa"/>
            <w:tcBorders>
              <w:bottom w:val="single" w:sz="4" w:space="0" w:color="auto"/>
            </w:tcBorders>
          </w:tcPr>
          <w:p w:rsidR="007335FD" w:rsidRDefault="00815898">
            <w:pPr>
              <w:pStyle w:val="NoSpacing"/>
              <w:jc w:val="center"/>
              <w:rPr>
                <w:sz w:val="24"/>
                <w:szCs w:val="24"/>
              </w:rPr>
            </w:pPr>
            <w:r>
              <w:rPr>
                <w:sz w:val="24"/>
                <w:szCs w:val="24"/>
              </w:rPr>
              <w:t>10,88</w:t>
            </w:r>
          </w:p>
        </w:tc>
        <w:tc>
          <w:tcPr>
            <w:tcW w:w="1489" w:type="dxa"/>
            <w:tcBorders>
              <w:bottom w:val="single" w:sz="4" w:space="0" w:color="auto"/>
            </w:tcBorders>
          </w:tcPr>
          <w:p w:rsidR="007335FD" w:rsidRDefault="00815898">
            <w:pPr>
              <w:pStyle w:val="NoSpacing"/>
              <w:jc w:val="center"/>
              <w:rPr>
                <w:sz w:val="24"/>
                <w:szCs w:val="24"/>
              </w:rPr>
            </w:pPr>
            <w:r>
              <w:rPr>
                <w:sz w:val="24"/>
                <w:szCs w:val="24"/>
              </w:rPr>
              <w:t>9,42</w:t>
            </w:r>
          </w:p>
        </w:tc>
      </w:tr>
      <w:tr w:rsidR="007335FD">
        <w:tc>
          <w:tcPr>
            <w:tcW w:w="3778" w:type="dxa"/>
            <w:gridSpan w:val="2"/>
            <w:shd w:val="clear" w:color="auto" w:fill="C00000"/>
          </w:tcPr>
          <w:p w:rsidR="007335FD" w:rsidRDefault="00815898">
            <w:pPr>
              <w:pStyle w:val="NoSpacing"/>
              <w:jc w:val="center"/>
              <w:rPr>
                <w:sz w:val="24"/>
                <w:szCs w:val="24"/>
              </w:rPr>
            </w:pPr>
            <w:r>
              <w:rPr>
                <w:sz w:val="24"/>
                <w:szCs w:val="24"/>
              </w:rPr>
              <w:t>Jumlah</w:t>
            </w:r>
          </w:p>
        </w:tc>
        <w:tc>
          <w:tcPr>
            <w:tcW w:w="1856" w:type="dxa"/>
            <w:shd w:val="clear" w:color="auto" w:fill="C00000"/>
          </w:tcPr>
          <w:p w:rsidR="007335FD" w:rsidRDefault="00815898">
            <w:pPr>
              <w:pStyle w:val="NoSpacing"/>
              <w:jc w:val="center"/>
              <w:rPr>
                <w:sz w:val="24"/>
                <w:szCs w:val="24"/>
              </w:rPr>
            </w:pPr>
            <w:r>
              <w:rPr>
                <w:sz w:val="24"/>
                <w:szCs w:val="24"/>
              </w:rPr>
              <w:t>61,35</w:t>
            </w:r>
          </w:p>
        </w:tc>
        <w:tc>
          <w:tcPr>
            <w:tcW w:w="1489" w:type="dxa"/>
            <w:shd w:val="clear" w:color="auto" w:fill="C00000"/>
          </w:tcPr>
          <w:p w:rsidR="007335FD" w:rsidRDefault="00815898">
            <w:pPr>
              <w:pStyle w:val="NoSpacing"/>
              <w:jc w:val="center"/>
              <w:rPr>
                <w:sz w:val="24"/>
                <w:szCs w:val="24"/>
              </w:rPr>
            </w:pPr>
            <w:r>
              <w:rPr>
                <w:sz w:val="24"/>
                <w:szCs w:val="24"/>
              </w:rPr>
              <w:t>60,92</w:t>
            </w:r>
          </w:p>
        </w:tc>
        <w:tc>
          <w:tcPr>
            <w:tcW w:w="1489" w:type="dxa"/>
            <w:shd w:val="clear" w:color="auto" w:fill="C00000"/>
          </w:tcPr>
          <w:p w:rsidR="007335FD" w:rsidRDefault="00815898">
            <w:pPr>
              <w:pStyle w:val="NoSpacing"/>
              <w:jc w:val="center"/>
              <w:rPr>
                <w:sz w:val="24"/>
                <w:szCs w:val="24"/>
              </w:rPr>
            </w:pPr>
            <w:r>
              <w:rPr>
                <w:sz w:val="24"/>
                <w:szCs w:val="24"/>
              </w:rPr>
              <w:t>62,50</w:t>
            </w:r>
          </w:p>
        </w:tc>
      </w:tr>
    </w:tbl>
    <w:p w:rsidR="007335FD" w:rsidRDefault="00815898">
      <w:pPr>
        <w:tabs>
          <w:tab w:val="left" w:pos="0"/>
        </w:tabs>
        <w:autoSpaceDE w:val="0"/>
        <w:autoSpaceDN w:val="0"/>
        <w:adjustRightInd w:val="0"/>
        <w:spacing w:after="0" w:line="360" w:lineRule="auto"/>
        <w:ind w:firstLine="440"/>
        <w:jc w:val="both"/>
        <w:rPr>
          <w:rFonts w:cs="Cambria"/>
          <w:i/>
          <w:iCs/>
          <w:sz w:val="24"/>
          <w:szCs w:val="24"/>
        </w:rPr>
      </w:pPr>
      <w:proofErr w:type="gramStart"/>
      <w:r>
        <w:rPr>
          <w:rFonts w:cs="Cambria"/>
          <w:i/>
          <w:iCs/>
          <w:sz w:val="24"/>
          <w:szCs w:val="24"/>
        </w:rPr>
        <w:t>Sumber :</w:t>
      </w:r>
      <w:proofErr w:type="gramEnd"/>
      <w:r>
        <w:rPr>
          <w:rFonts w:cs="Cambria"/>
          <w:i/>
          <w:iCs/>
          <w:sz w:val="24"/>
          <w:szCs w:val="24"/>
        </w:rPr>
        <w:t xml:space="preserve"> Inspektorat Daerah Provinsi Sumatera Barat</w:t>
      </w:r>
    </w:p>
    <w:p w:rsidR="007335FD" w:rsidRDefault="007335FD">
      <w:pPr>
        <w:autoSpaceDE w:val="0"/>
        <w:autoSpaceDN w:val="0"/>
        <w:adjustRightInd w:val="0"/>
        <w:spacing w:after="0" w:line="360" w:lineRule="auto"/>
        <w:ind w:leftChars="200" w:left="440" w:firstLine="660"/>
        <w:jc w:val="both"/>
        <w:rPr>
          <w:sz w:val="24"/>
          <w:szCs w:val="24"/>
        </w:rPr>
      </w:pPr>
    </w:p>
    <w:p w:rsidR="007335FD" w:rsidRDefault="00815898">
      <w:pPr>
        <w:autoSpaceDE w:val="0"/>
        <w:autoSpaceDN w:val="0"/>
        <w:adjustRightInd w:val="0"/>
        <w:spacing w:after="0" w:line="360" w:lineRule="auto"/>
        <w:ind w:firstLine="720"/>
        <w:jc w:val="center"/>
        <w:rPr>
          <w:rFonts w:cs="Cambria"/>
          <w:sz w:val="24"/>
          <w:szCs w:val="24"/>
        </w:rPr>
      </w:pPr>
      <w:r>
        <w:rPr>
          <w:rFonts w:cs="Cambria"/>
          <w:noProof/>
          <w:sz w:val="24"/>
          <w:szCs w:val="24"/>
        </w:rPr>
        <w:drawing>
          <wp:inline distT="0" distB="0" distL="0" distR="0">
            <wp:extent cx="4309110" cy="2694305"/>
            <wp:effectExtent l="19050" t="19050" r="27940" b="298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leftChars="200" w:left="440" w:firstLine="660"/>
        <w:jc w:val="both"/>
        <w:rPr>
          <w:rFonts w:cs="Cambria"/>
          <w:sz w:val="24"/>
          <w:szCs w:val="24"/>
        </w:rPr>
      </w:pPr>
      <w:r>
        <w:rPr>
          <w:rFonts w:cs="Cambria"/>
          <w:sz w:val="24"/>
          <w:szCs w:val="24"/>
        </w:rPr>
        <w:t xml:space="preserve">Dari tabel di atas, jika dibandingkan nilai evaluasi akuntabilitas kinerja tahun 2016 yang keluar pada tahun 2017 dengan nilai evaluasi akuntabilitas kinerja tahun 2017 yang keluar pada tahun 2018, terjadi kenaikan sebesar sebesar 1,58 poin. </w:t>
      </w:r>
      <w:proofErr w:type="gramStart"/>
      <w:r>
        <w:rPr>
          <w:rFonts w:cs="Cambria"/>
          <w:sz w:val="24"/>
          <w:szCs w:val="24"/>
        </w:rPr>
        <w:t xml:space="preserve">Komponen penilaian </w:t>
      </w:r>
      <w:r>
        <w:rPr>
          <w:rFonts w:cs="Cambria"/>
          <w:sz w:val="24"/>
          <w:szCs w:val="24"/>
        </w:rPr>
        <w:lastRenderedPageBreak/>
        <w:t>yang mengalami kenaikan adalah pada perencanaan kinerja, pelaporan kinerja dan evaluasi internal, sedangkan komponen yang mengalami penurunan adalah pengukuran kinerja dan pencapaian sasaran/kinerja organisasi.</w:t>
      </w:r>
      <w:proofErr w:type="gramEnd"/>
      <w:r>
        <w:rPr>
          <w:rFonts w:cs="Cambria"/>
          <w:sz w:val="24"/>
          <w:szCs w:val="24"/>
        </w:rPr>
        <w:t xml:space="preserve"> </w:t>
      </w:r>
      <w:proofErr w:type="gramStart"/>
      <w:r>
        <w:rPr>
          <w:rFonts w:cs="Cambria"/>
          <w:sz w:val="24"/>
          <w:szCs w:val="24"/>
        </w:rPr>
        <w:t>Penurunan pada komponen pengukuran kinerja disebabkan karena pengukuran kinerja belum dikembangkan dengan menggunakan teknologi informasi yang mengukur secara berjenjang mulai dari staf, manajerial sampai pimpinan tertinggi sehingga capaian atau progress kinerja tidak teridentifikasi secara cepat dan tepat.</w:t>
      </w:r>
      <w:proofErr w:type="gramEnd"/>
      <w:r>
        <w:rPr>
          <w:rFonts w:cs="Cambria"/>
          <w:sz w:val="24"/>
          <w:szCs w:val="24"/>
        </w:rPr>
        <w:t xml:space="preserve"> </w:t>
      </w:r>
      <w:proofErr w:type="gramStart"/>
      <w:r>
        <w:rPr>
          <w:rFonts w:cs="Cambria"/>
          <w:sz w:val="24"/>
          <w:szCs w:val="24"/>
        </w:rPr>
        <w:t>Adapun penurunan pada komponen pencapaian sasaran/kinerja organisasi disebabkan karena belum adanya inovasi dalam manajemen kinerja dengan IKU yang terukur sampai jenjang individu, diukur secara berkala serta hasilnya ditindaklanjuti dengan pemberian insentif/merisystem.</w:t>
      </w:r>
      <w:proofErr w:type="gramEnd"/>
    </w:p>
    <w:p w:rsidR="007335FD" w:rsidRDefault="00815898">
      <w:pPr>
        <w:autoSpaceDE w:val="0"/>
        <w:autoSpaceDN w:val="0"/>
        <w:adjustRightInd w:val="0"/>
        <w:spacing w:after="0" w:line="360" w:lineRule="auto"/>
        <w:ind w:leftChars="200" w:left="440" w:firstLine="660"/>
        <w:jc w:val="both"/>
        <w:rPr>
          <w:rFonts w:cs="Cambria"/>
          <w:sz w:val="24"/>
          <w:szCs w:val="24"/>
        </w:rPr>
      </w:pPr>
      <w:r>
        <w:rPr>
          <w:rFonts w:cs="Cambria"/>
          <w:sz w:val="24"/>
          <w:szCs w:val="24"/>
        </w:rPr>
        <w:t xml:space="preserve">Kenaikan nilai evaluasi akuntabilitas kinerja Badan Kesbangpol dari tahun sebelumnya didukung oleh beberapa faktor, di </w:t>
      </w:r>
      <w:proofErr w:type="gramStart"/>
      <w:r>
        <w:rPr>
          <w:rFonts w:cs="Cambria"/>
          <w:sz w:val="24"/>
          <w:szCs w:val="24"/>
        </w:rPr>
        <w:t>antaranya :</w:t>
      </w:r>
      <w:proofErr w:type="gramEnd"/>
    </w:p>
    <w:p w:rsidR="007335FD" w:rsidRDefault="00815898">
      <w:pPr>
        <w:pStyle w:val="ListParagraph"/>
        <w:numPr>
          <w:ilvl w:val="0"/>
          <w:numId w:val="27"/>
        </w:numPr>
        <w:autoSpaceDE w:val="0"/>
        <w:autoSpaceDN w:val="0"/>
        <w:adjustRightInd w:val="0"/>
        <w:spacing w:after="0" w:line="360" w:lineRule="auto"/>
        <w:ind w:leftChars="236" w:left="879" w:hangingChars="150"/>
        <w:jc w:val="both"/>
        <w:rPr>
          <w:rFonts w:cs="Cambria"/>
          <w:sz w:val="24"/>
          <w:szCs w:val="24"/>
        </w:rPr>
      </w:pPr>
      <w:r>
        <w:rPr>
          <w:rFonts w:cs="Cambria"/>
          <w:sz w:val="24"/>
          <w:szCs w:val="24"/>
        </w:rPr>
        <w:t xml:space="preserve">   Disusunnya Renstra Badan Kesbangpol yang memuat visi, misi, tujuan, sasaran, program, dan target jangka menengah yang telah dipublikasikan melakui website </w:t>
      </w:r>
      <w:hyperlink r:id="rId25" w:history="1">
        <w:r>
          <w:rPr>
            <w:rStyle w:val="Hyperlink"/>
            <w:rFonts w:cs="Cambria"/>
            <w:sz w:val="24"/>
            <w:szCs w:val="24"/>
          </w:rPr>
          <w:t>www.sumbarprov.go.id</w:t>
        </w:r>
      </w:hyperlink>
      <w:r>
        <w:rPr>
          <w:rFonts w:cs="Cambria"/>
          <w:sz w:val="24"/>
          <w:szCs w:val="24"/>
        </w:rPr>
        <w:t xml:space="preserve">. </w:t>
      </w:r>
    </w:p>
    <w:p w:rsidR="007335FD" w:rsidRDefault="00815898">
      <w:pPr>
        <w:pStyle w:val="ListParagraph"/>
        <w:numPr>
          <w:ilvl w:val="0"/>
          <w:numId w:val="27"/>
        </w:numPr>
        <w:autoSpaceDE w:val="0"/>
        <w:autoSpaceDN w:val="0"/>
        <w:adjustRightInd w:val="0"/>
        <w:spacing w:after="0" w:line="360" w:lineRule="auto"/>
        <w:ind w:leftChars="236" w:left="879" w:hangingChars="150"/>
        <w:jc w:val="both"/>
        <w:rPr>
          <w:rFonts w:cs="Cambria"/>
          <w:sz w:val="24"/>
          <w:szCs w:val="24"/>
        </w:rPr>
      </w:pPr>
      <w:r>
        <w:rPr>
          <w:rFonts w:cs="Cambria"/>
          <w:sz w:val="24"/>
          <w:szCs w:val="24"/>
        </w:rPr>
        <w:t xml:space="preserve">   Telah dilaksanakannya Reviu Indikator Kinerja Utama (IKU) dan Rencana Strategis (Renstra) Tahun 2016-2021 melalui pendampingan oleh Narasumber dari  Kementerian Pendayagunaan Aparatur Negara dan Reformasi Birokrasi untuk meningkatkan kualitas Sistem Akuntabilitas Kinerja Instansi Pemerintah;</w:t>
      </w:r>
    </w:p>
    <w:p w:rsidR="007335FD" w:rsidRDefault="00815898">
      <w:pPr>
        <w:pStyle w:val="ListParagraph"/>
        <w:numPr>
          <w:ilvl w:val="0"/>
          <w:numId w:val="27"/>
        </w:numPr>
        <w:autoSpaceDE w:val="0"/>
        <w:autoSpaceDN w:val="0"/>
        <w:adjustRightInd w:val="0"/>
        <w:spacing w:after="0" w:line="360" w:lineRule="auto"/>
        <w:ind w:leftChars="236" w:left="879" w:hangingChars="150"/>
        <w:jc w:val="both"/>
        <w:rPr>
          <w:rFonts w:cs="Cambria"/>
          <w:sz w:val="24"/>
          <w:szCs w:val="24"/>
        </w:rPr>
      </w:pPr>
      <w:r>
        <w:rPr>
          <w:rFonts w:cs="Cambria"/>
          <w:sz w:val="24"/>
          <w:szCs w:val="24"/>
        </w:rPr>
        <w:t xml:space="preserve">  Telah disusunnya Perjanjian Kinerja Eselon II sampai dengan Eselon IV dan dilakukan pengukuran kinerja secara berkala</w:t>
      </w:r>
    </w:p>
    <w:p w:rsidR="007335FD" w:rsidRDefault="00815898">
      <w:pPr>
        <w:pStyle w:val="ListParagraph"/>
        <w:numPr>
          <w:ilvl w:val="0"/>
          <w:numId w:val="27"/>
        </w:numPr>
        <w:autoSpaceDE w:val="0"/>
        <w:autoSpaceDN w:val="0"/>
        <w:adjustRightInd w:val="0"/>
        <w:spacing w:after="0" w:line="360" w:lineRule="auto"/>
        <w:ind w:leftChars="236" w:left="879" w:hangingChars="150"/>
        <w:jc w:val="both"/>
        <w:rPr>
          <w:rFonts w:cs="Cambria"/>
          <w:sz w:val="24"/>
          <w:szCs w:val="24"/>
        </w:rPr>
      </w:pPr>
      <w:r>
        <w:rPr>
          <w:rFonts w:cs="Cambria"/>
          <w:sz w:val="24"/>
          <w:szCs w:val="24"/>
        </w:rPr>
        <w:t xml:space="preserve">  Adanya rencana aksi sebagai dokumen yang dapat digunakan untuk memantau dan mengevaluasi capaian dari masing-masing indikator kinerja dan progress pelaksanaan program kegiatan selama tahun berjalan. </w:t>
      </w:r>
    </w:p>
    <w:p w:rsidR="007335FD" w:rsidRDefault="00815898">
      <w:pPr>
        <w:pStyle w:val="ListParagraph"/>
        <w:numPr>
          <w:ilvl w:val="0"/>
          <w:numId w:val="27"/>
        </w:numPr>
        <w:autoSpaceDE w:val="0"/>
        <w:autoSpaceDN w:val="0"/>
        <w:adjustRightInd w:val="0"/>
        <w:spacing w:after="0" w:line="360" w:lineRule="auto"/>
        <w:ind w:leftChars="236" w:left="879" w:hangingChars="150"/>
        <w:jc w:val="both"/>
        <w:rPr>
          <w:rFonts w:cs="Cambria"/>
          <w:sz w:val="24"/>
          <w:szCs w:val="24"/>
        </w:rPr>
      </w:pPr>
      <w:r>
        <w:rPr>
          <w:rFonts w:cs="Cambria"/>
          <w:sz w:val="24"/>
          <w:szCs w:val="24"/>
        </w:rPr>
        <w:t xml:space="preserve">  Dilakukannya pemantauan mengenai pencapaian kinerja dan rencana aksi yang telah dibuat</w:t>
      </w: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815898">
      <w:pPr>
        <w:autoSpaceDE w:val="0"/>
        <w:autoSpaceDN w:val="0"/>
        <w:adjustRightInd w:val="0"/>
        <w:spacing w:after="0" w:line="360" w:lineRule="auto"/>
        <w:ind w:leftChars="200" w:left="440" w:firstLine="660"/>
        <w:jc w:val="both"/>
        <w:rPr>
          <w:rFonts w:cs="Aparajita"/>
          <w:sz w:val="24"/>
          <w:szCs w:val="24"/>
        </w:rPr>
      </w:pPr>
      <w:r>
        <w:rPr>
          <w:rFonts w:cs="Arial"/>
          <w:sz w:val="24"/>
          <w:szCs w:val="24"/>
        </w:rPr>
        <w:t>Adapun capaian kinerja untuk indikator ini sebesar 84</w:t>
      </w:r>
      <w:proofErr w:type="gramStart"/>
      <w:r>
        <w:rPr>
          <w:rFonts w:cs="Arial"/>
          <w:sz w:val="24"/>
          <w:szCs w:val="24"/>
        </w:rPr>
        <w:t>,45</w:t>
      </w:r>
      <w:proofErr w:type="gramEnd"/>
      <w:r>
        <w:rPr>
          <w:rFonts w:cs="Arial"/>
          <w:sz w:val="24"/>
          <w:szCs w:val="24"/>
        </w:rPr>
        <w:t xml:space="preserve">% dan termasuk kategori keberhasilan </w:t>
      </w:r>
      <w:r>
        <w:rPr>
          <w:rFonts w:cs="Arial"/>
          <w:b/>
          <w:bCs/>
          <w:sz w:val="24"/>
          <w:szCs w:val="24"/>
        </w:rPr>
        <w:t xml:space="preserve">“Baik”. </w:t>
      </w:r>
      <w:r>
        <w:rPr>
          <w:rFonts w:cs="Aparajita"/>
          <w:sz w:val="24"/>
          <w:szCs w:val="24"/>
        </w:rPr>
        <w:t>T</w:t>
      </w:r>
      <w:r>
        <w:rPr>
          <w:rFonts w:eastAsia="Batang" w:cs="Aparajita"/>
          <w:sz w:val="24"/>
          <w:szCs w:val="24"/>
        </w:rPr>
        <w:t xml:space="preserve">ingkat capaian kinerja diperoleh dengan menggunakan rumus </w:t>
      </w:r>
      <w:proofErr w:type="gramStart"/>
      <w:r>
        <w:rPr>
          <w:rFonts w:eastAsia="Batang" w:cs="Aparajita"/>
          <w:sz w:val="24"/>
          <w:szCs w:val="24"/>
        </w:rPr>
        <w:t>berikut :</w:t>
      </w:r>
      <w:proofErr w:type="gramEnd"/>
    </w:p>
    <w:p w:rsidR="007335FD" w:rsidRDefault="00851EC5">
      <w:pPr>
        <w:pStyle w:val="ListParagraph"/>
        <w:spacing w:line="360" w:lineRule="auto"/>
        <w:jc w:val="both"/>
        <w:rPr>
          <w:rFonts w:ascii="Aparajita" w:eastAsia="Batang" w:hAnsi="Aparajita" w:cs="Aparajita"/>
          <w:sz w:val="24"/>
          <w:szCs w:val="24"/>
        </w:rPr>
      </w:pPr>
      <w:r>
        <w:rPr>
          <w:rFonts w:ascii="Aparajita" w:eastAsia="Batang" w:hAnsi="Aparajita" w:cs="Aparajita"/>
          <w:sz w:val="24"/>
          <w:szCs w:val="24"/>
        </w:rPr>
        <w:lastRenderedPageBreak/>
        <w:pict>
          <v:rect id="_x0000_s1036" style="position:absolute;left:0;text-align:left;margin-left:57pt;margin-top:3.95pt;width:354.75pt;height:47.2pt;z-index:276813824;mso-width-relative:page;mso-height-relative:page" strokecolor="#c00000" strokeweight="5pt">
            <v:stroke linestyle="thickThin"/>
            <v:textbox>
              <w:txbxContent>
                <w:p w:rsidR="00815898" w:rsidRDefault="00815898">
                  <w:pPr>
                    <w:jc w:val="center"/>
                    <w:rPr>
                      <w:rFonts w:cs="Aparajita"/>
                      <w:sz w:val="24"/>
                      <w:szCs w:val="24"/>
                    </w:rPr>
                  </w:pPr>
                  <m:oMathPara>
                    <m:oMath>
                      <m:r>
                        <w:rPr>
                          <w:rFonts w:ascii="Cambria Math" w:hAnsi="Cambria Math" w:cs="Aparajita"/>
                          <w:sz w:val="24"/>
                          <w:szCs w:val="24"/>
                        </w:rPr>
                        <m:t xml:space="preserve">Capaian indikator kinerja= </m:t>
                      </m:r>
                      <m:f>
                        <m:fPr>
                          <m:ctrlPr>
                            <w:rPr>
                              <w:rFonts w:ascii="Cambria Math" w:hAnsi="Cambria Math" w:cs="Aparajita"/>
                              <w:i/>
                              <w:sz w:val="24"/>
                              <w:szCs w:val="24"/>
                            </w:rPr>
                          </m:ctrlPr>
                        </m:fPr>
                        <m:num>
                          <m:r>
                            <w:rPr>
                              <w:rFonts w:ascii="Cambria Math" w:hAnsi="Cambria Math" w:cs="Aparajita"/>
                              <w:sz w:val="24"/>
                              <w:szCs w:val="24"/>
                            </w:rPr>
                            <m:t>Realisasi</m:t>
                          </m:r>
                        </m:num>
                        <m:den>
                          <m:r>
                            <w:rPr>
                              <w:rFonts w:ascii="Cambria Math" w:hAnsi="Cambria Math" w:cs="Aparajita"/>
                              <w:sz w:val="24"/>
                              <w:szCs w:val="24"/>
                            </w:rPr>
                            <m:t>Target</m:t>
                          </m:r>
                        </m:den>
                      </m:f>
                      <m:r>
                        <w:rPr>
                          <w:rFonts w:ascii="Cambria Math" w:hAnsi="Cambria Math" w:cs="Aparajita"/>
                          <w:sz w:val="24"/>
                          <w:szCs w:val="24"/>
                        </w:rPr>
                        <m:t>x 100%</m:t>
                      </m:r>
                    </m:oMath>
                  </m:oMathPara>
                </w:p>
                <w:p w:rsidR="00815898" w:rsidRDefault="00815898">
                  <w:pPr>
                    <w:jc w:val="center"/>
                  </w:pPr>
                </w:p>
                <w:p w:rsidR="00815898" w:rsidRDefault="00815898">
                  <w:pPr>
                    <w:jc w:val="center"/>
                    <w:rPr>
                      <w:rFonts w:ascii="Berlin Sans FB" w:hAnsi="Berlin Sans FB"/>
                      <w:sz w:val="24"/>
                      <w:szCs w:val="24"/>
                    </w:rPr>
                  </w:pPr>
                </w:p>
              </w:txbxContent>
            </v:textbox>
          </v:rect>
        </w:pict>
      </w:r>
    </w:p>
    <w:p w:rsidR="007335FD" w:rsidRDefault="007335FD">
      <w:pPr>
        <w:pStyle w:val="ListParagraph"/>
        <w:spacing w:line="360" w:lineRule="auto"/>
        <w:jc w:val="both"/>
        <w:rPr>
          <w:rFonts w:ascii="Aparajita" w:eastAsia="Batang" w:hAnsi="Aparajita" w:cs="Aparajita"/>
          <w:sz w:val="24"/>
          <w:szCs w:val="24"/>
        </w:rPr>
      </w:pPr>
    </w:p>
    <w:p w:rsidR="007335FD" w:rsidRDefault="00815898">
      <w:pPr>
        <w:pStyle w:val="ListParagraph"/>
        <w:spacing w:line="360" w:lineRule="auto"/>
        <w:ind w:firstLine="720"/>
        <w:jc w:val="both"/>
        <w:rPr>
          <w:rFonts w:eastAsia="Batang" w:cs="Aparajita"/>
          <w:sz w:val="24"/>
          <w:szCs w:val="24"/>
        </w:rPr>
      </w:pPr>
      <w:proofErr w:type="gramStart"/>
      <w:r>
        <w:rPr>
          <w:rFonts w:eastAsia="Batang" w:cs="Aparajita"/>
          <w:sz w:val="24"/>
          <w:szCs w:val="24"/>
        </w:rPr>
        <w:t>Capaian  Indikator</w:t>
      </w:r>
      <w:proofErr w:type="gramEnd"/>
      <w:r>
        <w:rPr>
          <w:rFonts w:eastAsia="Batang" w:cs="Aparajita"/>
          <w:sz w:val="24"/>
          <w:szCs w:val="24"/>
        </w:rPr>
        <w:t xml:space="preserve"> Kinerja = </w:t>
      </w:r>
      <w:r>
        <w:rPr>
          <w:rFonts w:eastAsia="Batang" w:cs="Aparajita"/>
          <w:position w:val="-24"/>
          <w:sz w:val="24"/>
          <w:szCs w:val="24"/>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26" o:title=""/>
          </v:shape>
          <o:OLEObject Type="Embed" ProgID="Equation.3" ShapeID="_x0000_i1025" DrawAspect="Content" ObjectID="_1621771240" r:id="rId27"/>
        </w:object>
      </w:r>
      <w:r>
        <w:rPr>
          <w:rFonts w:eastAsia="Batang" w:cs="Aparajita"/>
          <w:sz w:val="24"/>
          <w:szCs w:val="24"/>
        </w:rPr>
        <w:t>= 84,45%</w:t>
      </w:r>
    </w:p>
    <w:p w:rsidR="007335FD" w:rsidRDefault="00815898">
      <w:pPr>
        <w:autoSpaceDE w:val="0"/>
        <w:autoSpaceDN w:val="0"/>
        <w:adjustRightInd w:val="0"/>
        <w:spacing w:after="0" w:line="360" w:lineRule="auto"/>
        <w:ind w:leftChars="200" w:left="440" w:firstLine="660"/>
        <w:jc w:val="both"/>
        <w:rPr>
          <w:rFonts w:ascii="Berlin Sans FB Demi" w:hAnsi="Berlin Sans FB Demi"/>
          <w:sz w:val="24"/>
          <w:szCs w:val="24"/>
        </w:rPr>
      </w:pPr>
      <w:r>
        <w:rPr>
          <w:rFonts w:cs="Cambria"/>
          <w:sz w:val="24"/>
          <w:szCs w:val="24"/>
        </w:rPr>
        <w:t xml:space="preserve">Capaian indikator kinerja menunjukkan trend penurunan, sebagaimana yang disajikan pada tabel </w:t>
      </w:r>
      <w:proofErr w:type="gramStart"/>
      <w:r>
        <w:rPr>
          <w:rFonts w:cs="Cambria"/>
          <w:sz w:val="24"/>
          <w:szCs w:val="24"/>
        </w:rPr>
        <w:t>berikut :</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3.7</w:t>
      </w:r>
    </w:p>
    <w:p w:rsidR="007335FD" w:rsidRDefault="00815898">
      <w:pPr>
        <w:pStyle w:val="NoSpacing"/>
        <w:jc w:val="center"/>
        <w:rPr>
          <w:rFonts w:hAnsi="Berlin Sans FB Demi"/>
          <w:b/>
          <w:bCs/>
          <w:sz w:val="24"/>
          <w:szCs w:val="24"/>
        </w:rPr>
      </w:pPr>
      <w:r>
        <w:rPr>
          <w:rFonts w:hAnsi="Berlin Sans FB Demi"/>
          <w:b/>
          <w:bCs/>
          <w:sz w:val="24"/>
          <w:szCs w:val="24"/>
        </w:rPr>
        <w:t>Realisasi dan Capaian Indikator Kinerja Nilai Evaluasi Akuntabilitas Kinerja</w:t>
      </w:r>
    </w:p>
    <w:p w:rsidR="007335FD" w:rsidRDefault="00815898">
      <w:pPr>
        <w:pStyle w:val="NoSpacing"/>
        <w:jc w:val="center"/>
        <w:rPr>
          <w:b/>
          <w:bCs/>
        </w:rPr>
      </w:pPr>
      <w:r>
        <w:rPr>
          <w:rFonts w:hAnsi="Berlin Sans FB Demi"/>
          <w:b/>
          <w:bCs/>
          <w:sz w:val="24"/>
          <w:szCs w:val="24"/>
        </w:rPr>
        <w:t>Tahun 2016-2018</w:t>
      </w:r>
    </w:p>
    <w:tbl>
      <w:tblPr>
        <w:tblStyle w:val="TableGrid"/>
        <w:tblpPr w:leftFromText="180" w:rightFromText="180" w:vertAnchor="text" w:horzAnchor="page" w:tblpX="2141" w:tblpY="149"/>
        <w:tblOverlap w:val="never"/>
        <w:tblW w:w="8317" w:type="dxa"/>
        <w:tblLayout w:type="fixed"/>
        <w:tblLook w:val="04A0" w:firstRow="1" w:lastRow="0" w:firstColumn="1" w:lastColumn="0" w:noHBand="0" w:noVBand="1"/>
      </w:tblPr>
      <w:tblGrid>
        <w:gridCol w:w="661"/>
        <w:gridCol w:w="1456"/>
        <w:gridCol w:w="978"/>
        <w:gridCol w:w="822"/>
        <w:gridCol w:w="989"/>
        <w:gridCol w:w="1044"/>
        <w:gridCol w:w="1202"/>
        <w:gridCol w:w="1165"/>
      </w:tblGrid>
      <w:tr w:rsidR="007335FD">
        <w:tc>
          <w:tcPr>
            <w:tcW w:w="661"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No</w:t>
            </w:r>
          </w:p>
        </w:tc>
        <w:tc>
          <w:tcPr>
            <w:tcW w:w="1456"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Indikator Kinerja</w:t>
            </w:r>
          </w:p>
        </w:tc>
        <w:tc>
          <w:tcPr>
            <w:tcW w:w="2789" w:type="dxa"/>
            <w:gridSpan w:val="3"/>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Realisasi</w:t>
            </w:r>
          </w:p>
        </w:tc>
        <w:tc>
          <w:tcPr>
            <w:tcW w:w="3411" w:type="dxa"/>
            <w:gridSpan w:val="3"/>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Capaian Indikator Kinerja</w:t>
            </w:r>
          </w:p>
        </w:tc>
      </w:tr>
      <w:tr w:rsidR="007335FD">
        <w:tc>
          <w:tcPr>
            <w:tcW w:w="661"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1456"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978" w:type="dxa"/>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2016</w:t>
            </w:r>
          </w:p>
        </w:tc>
        <w:tc>
          <w:tcPr>
            <w:tcW w:w="822" w:type="dxa"/>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2017</w:t>
            </w:r>
          </w:p>
        </w:tc>
        <w:tc>
          <w:tcPr>
            <w:tcW w:w="989"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2018</w:t>
            </w:r>
          </w:p>
        </w:tc>
        <w:tc>
          <w:tcPr>
            <w:tcW w:w="1044"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2016</w:t>
            </w:r>
          </w:p>
        </w:tc>
        <w:tc>
          <w:tcPr>
            <w:tcW w:w="1202"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2017</w:t>
            </w:r>
          </w:p>
        </w:tc>
        <w:tc>
          <w:tcPr>
            <w:tcW w:w="1165"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2018</w:t>
            </w:r>
          </w:p>
        </w:tc>
      </w:tr>
      <w:tr w:rsidR="007335FD">
        <w:tc>
          <w:tcPr>
            <w:tcW w:w="661" w:type="dxa"/>
          </w:tcPr>
          <w:p w:rsidR="007335FD" w:rsidRDefault="00815898">
            <w:pPr>
              <w:pStyle w:val="ListParagraph"/>
              <w:spacing w:line="360" w:lineRule="auto"/>
              <w:ind w:left="0"/>
              <w:jc w:val="both"/>
              <w:rPr>
                <w:rFonts w:hAnsi="Rockwell"/>
              </w:rPr>
            </w:pPr>
            <w:r>
              <w:rPr>
                <w:rFonts w:hAnsi="Rockwell"/>
              </w:rPr>
              <w:t>1</w:t>
            </w:r>
          </w:p>
        </w:tc>
        <w:tc>
          <w:tcPr>
            <w:tcW w:w="1456" w:type="dxa"/>
          </w:tcPr>
          <w:p w:rsidR="007335FD" w:rsidRDefault="00815898">
            <w:pPr>
              <w:pStyle w:val="ListParagraph"/>
              <w:spacing w:line="360" w:lineRule="auto"/>
              <w:ind w:left="0"/>
            </w:pPr>
            <w:r>
              <w:t>Nilai Evaluasi Akuntabilitas Kinerja</w:t>
            </w:r>
          </w:p>
        </w:tc>
        <w:tc>
          <w:tcPr>
            <w:tcW w:w="978" w:type="dxa"/>
          </w:tcPr>
          <w:p w:rsidR="007335FD" w:rsidRDefault="00815898">
            <w:pPr>
              <w:pStyle w:val="ListParagraph"/>
              <w:spacing w:line="360" w:lineRule="auto"/>
              <w:ind w:left="0"/>
              <w:jc w:val="center"/>
              <w:rPr>
                <w:rFonts w:hAnsi="Rockwell"/>
                <w:bCs/>
              </w:rPr>
            </w:pPr>
            <w:r>
              <w:rPr>
                <w:rFonts w:hAnsi="Rockwell"/>
                <w:bCs/>
              </w:rPr>
              <w:t>61,35</w:t>
            </w:r>
          </w:p>
        </w:tc>
        <w:tc>
          <w:tcPr>
            <w:tcW w:w="822" w:type="dxa"/>
          </w:tcPr>
          <w:p w:rsidR="007335FD" w:rsidRDefault="00815898">
            <w:pPr>
              <w:pStyle w:val="ListParagraph"/>
              <w:spacing w:line="360" w:lineRule="auto"/>
              <w:ind w:left="0"/>
              <w:jc w:val="center"/>
              <w:rPr>
                <w:rFonts w:hAnsi="Rockwell"/>
                <w:bCs/>
              </w:rPr>
            </w:pPr>
            <w:r>
              <w:rPr>
                <w:rFonts w:hAnsi="Rockwell"/>
                <w:bCs/>
              </w:rPr>
              <w:t>60,92</w:t>
            </w:r>
          </w:p>
        </w:tc>
        <w:tc>
          <w:tcPr>
            <w:tcW w:w="989" w:type="dxa"/>
          </w:tcPr>
          <w:p w:rsidR="007335FD" w:rsidRDefault="00815898">
            <w:pPr>
              <w:pStyle w:val="ListParagraph"/>
              <w:spacing w:line="360" w:lineRule="auto"/>
              <w:ind w:left="0"/>
              <w:jc w:val="center"/>
              <w:rPr>
                <w:rFonts w:hAnsi="Rockwell"/>
                <w:bCs/>
              </w:rPr>
            </w:pPr>
            <w:r>
              <w:rPr>
                <w:rFonts w:hAnsi="Rockwell"/>
                <w:bCs/>
              </w:rPr>
              <w:t>62,50</w:t>
            </w:r>
          </w:p>
        </w:tc>
        <w:tc>
          <w:tcPr>
            <w:tcW w:w="1044" w:type="dxa"/>
          </w:tcPr>
          <w:p w:rsidR="007335FD" w:rsidRDefault="00815898">
            <w:pPr>
              <w:pStyle w:val="ListParagraph"/>
              <w:spacing w:line="360" w:lineRule="auto"/>
              <w:ind w:left="0"/>
              <w:jc w:val="center"/>
              <w:rPr>
                <w:rFonts w:hAnsi="Rockwell"/>
                <w:bCs/>
              </w:rPr>
            </w:pPr>
            <w:r>
              <w:rPr>
                <w:rFonts w:hAnsi="Rockwell"/>
                <w:bCs/>
              </w:rPr>
              <w:t>86,41</w:t>
            </w:r>
          </w:p>
        </w:tc>
        <w:tc>
          <w:tcPr>
            <w:tcW w:w="1202" w:type="dxa"/>
          </w:tcPr>
          <w:p w:rsidR="007335FD" w:rsidRDefault="00815898">
            <w:pPr>
              <w:pStyle w:val="ListParagraph"/>
              <w:spacing w:line="360" w:lineRule="auto"/>
              <w:ind w:left="0"/>
              <w:jc w:val="center"/>
              <w:rPr>
                <w:rFonts w:hAnsi="Rockwell"/>
                <w:bCs/>
              </w:rPr>
            </w:pPr>
            <w:r>
              <w:rPr>
                <w:rFonts w:hAnsi="Rockwell"/>
                <w:bCs/>
              </w:rPr>
              <w:t>84,61</w:t>
            </w:r>
          </w:p>
        </w:tc>
        <w:tc>
          <w:tcPr>
            <w:tcW w:w="1165" w:type="dxa"/>
          </w:tcPr>
          <w:p w:rsidR="007335FD" w:rsidRDefault="00815898">
            <w:pPr>
              <w:pStyle w:val="ListParagraph"/>
              <w:spacing w:line="360" w:lineRule="auto"/>
              <w:ind w:left="0"/>
              <w:jc w:val="center"/>
              <w:rPr>
                <w:rFonts w:hAnsi="Rockwell"/>
                <w:bCs/>
              </w:rPr>
            </w:pPr>
            <w:r>
              <w:rPr>
                <w:rFonts w:hAnsi="Rockwell"/>
                <w:bCs/>
              </w:rPr>
              <w:t>84,45</w:t>
            </w:r>
          </w:p>
        </w:tc>
      </w:tr>
    </w:tbl>
    <w:p w:rsidR="007335FD" w:rsidRDefault="007335FD">
      <w:pPr>
        <w:autoSpaceDE w:val="0"/>
        <w:autoSpaceDN w:val="0"/>
        <w:adjustRightInd w:val="0"/>
        <w:spacing w:after="0" w:line="360" w:lineRule="auto"/>
        <w:ind w:firstLine="720"/>
        <w:jc w:val="both"/>
        <w:rPr>
          <w:rFonts w:cs="Cambria"/>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Grafik 3.2</w:t>
      </w:r>
    </w:p>
    <w:p w:rsidR="007335FD" w:rsidRDefault="00815898">
      <w:pPr>
        <w:pStyle w:val="NoSpacing"/>
        <w:jc w:val="center"/>
        <w:rPr>
          <w:rFonts w:hAnsi="Berlin Sans FB Demi"/>
          <w:b/>
          <w:bCs/>
          <w:sz w:val="24"/>
          <w:szCs w:val="24"/>
        </w:rPr>
      </w:pPr>
      <w:r>
        <w:rPr>
          <w:rFonts w:hAnsi="Berlin Sans FB Demi"/>
          <w:b/>
          <w:bCs/>
          <w:sz w:val="24"/>
          <w:szCs w:val="24"/>
        </w:rPr>
        <w:t>Realisasi dan Capaian Indikator Kinerja Nilai Evaluasi Akuntabilitas Kinerja</w:t>
      </w:r>
    </w:p>
    <w:p w:rsidR="007335FD" w:rsidRDefault="00815898">
      <w:pPr>
        <w:pStyle w:val="NoSpacing"/>
        <w:jc w:val="center"/>
        <w:rPr>
          <w:rFonts w:hAnsi="Berlin Sans FB Demi"/>
          <w:b/>
          <w:bCs/>
          <w:sz w:val="24"/>
          <w:szCs w:val="24"/>
        </w:rPr>
      </w:pPr>
      <w:r>
        <w:rPr>
          <w:rFonts w:hAnsi="Berlin Sans FB Demi"/>
          <w:b/>
          <w:bCs/>
          <w:sz w:val="24"/>
          <w:szCs w:val="24"/>
        </w:rPr>
        <w:t>Tahun 2016-2018</w:t>
      </w:r>
    </w:p>
    <w:p w:rsidR="007335FD" w:rsidRDefault="007335FD">
      <w:pPr>
        <w:pStyle w:val="NoSpacing"/>
        <w:jc w:val="center"/>
        <w:rPr>
          <w:rFonts w:ascii="Berlin Sans FB Demi" w:hAnsi="Berlin Sans FB Demi"/>
          <w:sz w:val="24"/>
          <w:szCs w:val="24"/>
        </w:rPr>
      </w:pPr>
    </w:p>
    <w:p w:rsidR="007335FD" w:rsidRDefault="00815898">
      <w:pPr>
        <w:pStyle w:val="ListParagraph"/>
        <w:spacing w:line="360" w:lineRule="auto"/>
        <w:ind w:left="0" w:firstLine="426"/>
        <w:jc w:val="center"/>
        <w:rPr>
          <w:rFonts w:ascii="Rockwell" w:hAnsi="Rockwell"/>
        </w:rPr>
      </w:pPr>
      <w:r>
        <w:rPr>
          <w:rFonts w:cs="Cambria"/>
          <w:noProof/>
          <w:sz w:val="24"/>
          <w:szCs w:val="24"/>
        </w:rPr>
        <w:drawing>
          <wp:inline distT="0" distB="0" distL="0" distR="0">
            <wp:extent cx="4221480" cy="2791460"/>
            <wp:effectExtent l="19050" t="19050" r="26670" b="21590"/>
            <wp:docPr id="40" name="Chart 40" title="Grafik"/>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335FD" w:rsidRDefault="00815898">
      <w:pPr>
        <w:autoSpaceDE w:val="0"/>
        <w:autoSpaceDN w:val="0"/>
        <w:adjustRightInd w:val="0"/>
        <w:spacing w:after="0" w:line="360" w:lineRule="auto"/>
        <w:ind w:left="440" w:firstLine="660"/>
        <w:jc w:val="both"/>
        <w:rPr>
          <w:rFonts w:cs="Cambria"/>
          <w:sz w:val="24"/>
          <w:szCs w:val="24"/>
        </w:rPr>
      </w:pPr>
      <w:r>
        <w:rPr>
          <w:rFonts w:cs="Cambria"/>
          <w:sz w:val="24"/>
          <w:szCs w:val="24"/>
        </w:rPr>
        <w:t xml:space="preserve">Trend penurunan capaian indikator kinerja dari tahun 2016-2018 disebabkan karena peningkatan nilai evaluasi akuntabilitas kinerja tidak terlalu signifikan tiap tahunnya, dimana nilai evaluasi akuntabilitas kinerja Badan Kesbangpol pada tahun 2018 naik sebesar </w:t>
      </w:r>
      <w:r>
        <w:rPr>
          <w:rFonts w:cs="Cambria"/>
          <w:sz w:val="24"/>
          <w:szCs w:val="24"/>
        </w:rPr>
        <w:lastRenderedPageBreak/>
        <w:t>1,58 dari tahun sebelumnya, sedangkan target yang akan dicapai nilainya setiap tahun naik 2 poin, sehingga bila dilakukan pengukuran kinerja terhadap capaian indikator ini, hasilnya akan menunjukkan trend penurunan jika kenaikan terhadap indikator ini kurang dari target yang ditetapkan.</w:t>
      </w:r>
    </w:p>
    <w:p w:rsidR="007335FD" w:rsidRDefault="00815898">
      <w:pPr>
        <w:autoSpaceDE w:val="0"/>
        <w:autoSpaceDN w:val="0"/>
        <w:adjustRightInd w:val="0"/>
        <w:spacing w:after="0" w:line="360" w:lineRule="auto"/>
        <w:ind w:left="440" w:firstLine="660"/>
        <w:jc w:val="both"/>
        <w:rPr>
          <w:rFonts w:cs="Cambria"/>
          <w:sz w:val="24"/>
          <w:szCs w:val="24"/>
        </w:rPr>
      </w:pPr>
      <w:r>
        <w:rPr>
          <w:rFonts w:cs="Cambria"/>
          <w:sz w:val="24"/>
          <w:szCs w:val="24"/>
        </w:rPr>
        <w:t xml:space="preserve">Ada beberapa fakor penghambat yang menyebabkan nilai evaluasi akuntabilitas kinerja Badan Kesbangpol tidak mengalami kenaikan secara signifikan di </w:t>
      </w:r>
      <w:proofErr w:type="gramStart"/>
      <w:r>
        <w:rPr>
          <w:rFonts w:cs="Cambria"/>
          <w:sz w:val="24"/>
          <w:szCs w:val="24"/>
        </w:rPr>
        <w:t>antaranya :</w:t>
      </w:r>
      <w:proofErr w:type="gramEnd"/>
      <w:r>
        <w:rPr>
          <w:rFonts w:cs="Cambria"/>
          <w:sz w:val="24"/>
          <w:szCs w:val="24"/>
        </w:rPr>
        <w:t xml:space="preserve"> </w:t>
      </w:r>
    </w:p>
    <w:p w:rsidR="007335FD" w:rsidRDefault="00815898">
      <w:pPr>
        <w:pStyle w:val="ListParagraph"/>
        <w:numPr>
          <w:ilvl w:val="0"/>
          <w:numId w:val="28"/>
        </w:numPr>
        <w:autoSpaceDE w:val="0"/>
        <w:autoSpaceDN w:val="0"/>
        <w:adjustRightInd w:val="0"/>
        <w:spacing w:after="0" w:line="360" w:lineRule="auto"/>
        <w:ind w:left="886" w:hanging="446"/>
        <w:jc w:val="both"/>
        <w:rPr>
          <w:rFonts w:cs="Cambria"/>
          <w:sz w:val="24"/>
          <w:szCs w:val="24"/>
        </w:rPr>
      </w:pPr>
      <w:r>
        <w:rPr>
          <w:rFonts w:cs="Cambria"/>
          <w:sz w:val="24"/>
          <w:szCs w:val="24"/>
        </w:rPr>
        <w:t>Informasi yang disajikan dalam Laporan Kinerja belum sepenuhnya dipakai untuk menilai dan memperbaiki pelaksanaan program dan kegiatan organisasi dan penyelenggaraan manajemen kinerja;</w:t>
      </w:r>
    </w:p>
    <w:p w:rsidR="007335FD" w:rsidRDefault="00815898">
      <w:pPr>
        <w:pStyle w:val="ListParagraph"/>
        <w:numPr>
          <w:ilvl w:val="0"/>
          <w:numId w:val="28"/>
        </w:numPr>
        <w:autoSpaceDE w:val="0"/>
        <w:autoSpaceDN w:val="0"/>
        <w:adjustRightInd w:val="0"/>
        <w:spacing w:after="0" w:line="360" w:lineRule="auto"/>
        <w:ind w:left="886" w:hanging="446"/>
        <w:jc w:val="both"/>
        <w:rPr>
          <w:rFonts w:cs="Cambria"/>
          <w:sz w:val="24"/>
          <w:szCs w:val="24"/>
        </w:rPr>
      </w:pPr>
      <w:r>
        <w:rPr>
          <w:rFonts w:cs="Cambria"/>
          <w:sz w:val="24"/>
          <w:szCs w:val="24"/>
        </w:rPr>
        <w:t>Evaluasi atas program belum sepenuhnya dilaksanakan dan hasil evaluasi belum sepenuhnya dimanfaatkan untuk menilai keberhasilan program.</w:t>
      </w:r>
    </w:p>
    <w:p w:rsidR="007335FD" w:rsidRDefault="00815898">
      <w:pPr>
        <w:pStyle w:val="ListParagraph"/>
        <w:numPr>
          <w:ilvl w:val="0"/>
          <w:numId w:val="28"/>
        </w:numPr>
        <w:autoSpaceDE w:val="0"/>
        <w:autoSpaceDN w:val="0"/>
        <w:adjustRightInd w:val="0"/>
        <w:spacing w:after="0" w:line="360" w:lineRule="auto"/>
        <w:ind w:left="886" w:hanging="446"/>
        <w:jc w:val="both"/>
        <w:rPr>
          <w:rFonts w:cs="Cambria"/>
          <w:sz w:val="24"/>
          <w:szCs w:val="24"/>
        </w:rPr>
      </w:pPr>
      <w:r>
        <w:rPr>
          <w:rFonts w:cs="Cambria"/>
          <w:sz w:val="24"/>
          <w:szCs w:val="24"/>
        </w:rPr>
        <w:t>Belum adanya penghargaan yang diterima oleh Badan Kesbangpol selama beberapa tahun belakangan.</w:t>
      </w:r>
    </w:p>
    <w:p w:rsidR="007335FD" w:rsidRDefault="00815898">
      <w:pPr>
        <w:pStyle w:val="ListParagraph"/>
        <w:numPr>
          <w:ilvl w:val="0"/>
          <w:numId w:val="28"/>
        </w:numPr>
        <w:autoSpaceDE w:val="0"/>
        <w:autoSpaceDN w:val="0"/>
        <w:adjustRightInd w:val="0"/>
        <w:spacing w:after="0" w:line="360" w:lineRule="auto"/>
        <w:ind w:left="886" w:hanging="446"/>
        <w:jc w:val="both"/>
        <w:rPr>
          <w:rFonts w:cs="Cambria"/>
          <w:sz w:val="24"/>
          <w:szCs w:val="24"/>
        </w:rPr>
      </w:pPr>
      <w:r>
        <w:rPr>
          <w:rFonts w:cs="Cambria"/>
          <w:sz w:val="24"/>
          <w:szCs w:val="24"/>
        </w:rPr>
        <w:t>Belum adanya reward dan punishment terhadap keberhasilan/kegagalan pencapaian kinerja</w:t>
      </w:r>
    </w:p>
    <w:p w:rsidR="007335FD" w:rsidRDefault="00815898">
      <w:pPr>
        <w:pStyle w:val="ListParagraph"/>
        <w:numPr>
          <w:ilvl w:val="0"/>
          <w:numId w:val="28"/>
        </w:numPr>
        <w:autoSpaceDE w:val="0"/>
        <w:autoSpaceDN w:val="0"/>
        <w:adjustRightInd w:val="0"/>
        <w:spacing w:after="0" w:line="360" w:lineRule="auto"/>
        <w:ind w:left="886" w:hanging="446"/>
        <w:jc w:val="both"/>
        <w:rPr>
          <w:rFonts w:cs="Cambria"/>
          <w:sz w:val="24"/>
          <w:szCs w:val="24"/>
        </w:rPr>
      </w:pPr>
      <w:r>
        <w:rPr>
          <w:rFonts w:cs="Cambria"/>
          <w:sz w:val="24"/>
          <w:szCs w:val="24"/>
        </w:rPr>
        <w:t xml:space="preserve">Minimnya jumlah sumber daya manusia yang bisa menguasai teknologi informasi sehingga pemanfaatan teknologi informasi untuk melakukan pengukuran secara berkala dan berjenjang mulai dari staf sampai pimpinan tertinggi belum dapat dilakukan. </w:t>
      </w:r>
    </w:p>
    <w:p w:rsidR="007335FD" w:rsidRDefault="007335FD">
      <w:pPr>
        <w:pStyle w:val="ListParagraph"/>
        <w:autoSpaceDE w:val="0"/>
        <w:autoSpaceDN w:val="0"/>
        <w:adjustRightInd w:val="0"/>
        <w:spacing w:after="0" w:line="360" w:lineRule="auto"/>
        <w:ind w:left="660"/>
        <w:jc w:val="both"/>
        <w:rPr>
          <w:rFonts w:cs="Cambria"/>
          <w:sz w:val="24"/>
          <w:szCs w:val="24"/>
        </w:rPr>
      </w:pPr>
    </w:p>
    <w:p w:rsidR="007335FD" w:rsidRDefault="00815898">
      <w:pPr>
        <w:autoSpaceDE w:val="0"/>
        <w:autoSpaceDN w:val="0"/>
        <w:adjustRightInd w:val="0"/>
        <w:spacing w:after="0" w:line="360" w:lineRule="auto"/>
        <w:ind w:left="440" w:firstLine="660"/>
        <w:jc w:val="both"/>
        <w:rPr>
          <w:rFonts w:cs="Cambria"/>
          <w:sz w:val="24"/>
          <w:szCs w:val="24"/>
        </w:rPr>
      </w:pPr>
      <w:r>
        <w:rPr>
          <w:rFonts w:cs="Cambria"/>
          <w:sz w:val="24"/>
          <w:szCs w:val="24"/>
        </w:rPr>
        <w:t xml:space="preserve">Untuk ke depannya, agar terjadi peningkatan yang signifikan terhadap indikator </w:t>
      </w:r>
      <w:proofErr w:type="gramStart"/>
      <w:r>
        <w:rPr>
          <w:rFonts w:cs="Cambria"/>
          <w:sz w:val="24"/>
          <w:szCs w:val="24"/>
        </w:rPr>
        <w:t>ini  ada</w:t>
      </w:r>
      <w:proofErr w:type="gramEnd"/>
      <w:r>
        <w:rPr>
          <w:rFonts w:cs="Cambria"/>
          <w:sz w:val="24"/>
          <w:szCs w:val="24"/>
        </w:rPr>
        <w:t xml:space="preserve"> beberapa solusi yang dapat dilakukan diantaranya :</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t>Menyusun indikator kinerja yang berorintasi hasil (outcome) mulai dari staf, Eselon IV, Eselon III sampai dengan Eselon II sehingga dapat dilakukan pengukuran kinerja secara berjenjang</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t>Mengupayakan penggunaan teknologi informasi dalam melakukan pengukuran kinerja secara berjenjang mulai dari staf sampai dengan pimpinan tertinggi sehingga capaian atau progress kinerja dapat diidentifikasi secara lebih tepat dan jelas</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t>Melakukan reviu secara berkala terhadap indikator kinerja yang telah ditetapkan</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t>Menerapkan reward dan punishment untuk peningkatan manajemen kinerja</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lastRenderedPageBreak/>
        <w:t>Melakukan inovasi terhadap manajemen kinerja sehingga diperoleh penghargaan baik di tingkat nasional maupun di daerah</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t>Mengikuti bimbingan teknis dan asistensi laporan kinerja</w:t>
      </w:r>
    </w:p>
    <w:p w:rsidR="007335FD" w:rsidRDefault="00815898">
      <w:pPr>
        <w:numPr>
          <w:ilvl w:val="0"/>
          <w:numId w:val="29"/>
        </w:numPr>
        <w:autoSpaceDE w:val="0"/>
        <w:autoSpaceDN w:val="0"/>
        <w:adjustRightInd w:val="0"/>
        <w:spacing w:after="0" w:line="360" w:lineRule="auto"/>
        <w:ind w:leftChars="300" w:left="1099" w:hangingChars="183" w:hanging="439"/>
        <w:jc w:val="both"/>
        <w:rPr>
          <w:rFonts w:cs="Cambria"/>
          <w:sz w:val="24"/>
          <w:szCs w:val="24"/>
        </w:rPr>
      </w:pPr>
      <w:r>
        <w:rPr>
          <w:rFonts w:cs="Cambria"/>
          <w:sz w:val="24"/>
          <w:szCs w:val="24"/>
        </w:rPr>
        <w:t>Komitmen pimpinan untuk memanfaatkan informasi kinerja dalam laporan kinerja dalam penyelenggaraan manajemen kinerja pada Badan Kesbangpol Provinsi Sumatera Barat.</w:t>
      </w:r>
    </w:p>
    <w:p w:rsidR="007335FD" w:rsidRDefault="00815898">
      <w:pPr>
        <w:autoSpaceDE w:val="0"/>
        <w:autoSpaceDN w:val="0"/>
        <w:adjustRightInd w:val="0"/>
        <w:spacing w:after="0" w:line="360" w:lineRule="auto"/>
        <w:ind w:leftChars="200" w:left="440" w:firstLine="660"/>
        <w:jc w:val="both"/>
        <w:rPr>
          <w:rFonts w:cs="Cambria"/>
          <w:sz w:val="24"/>
          <w:szCs w:val="24"/>
        </w:rPr>
      </w:pPr>
      <w:r>
        <w:rPr>
          <w:rFonts w:cs="Cambria"/>
          <w:sz w:val="24"/>
          <w:szCs w:val="24"/>
        </w:rPr>
        <w:t>Jika dibandingkan dengan target akhir Renstra, kinerja baru tercapai 78</w:t>
      </w:r>
      <w:proofErr w:type="gramStart"/>
      <w:r>
        <w:rPr>
          <w:rFonts w:cs="Cambria"/>
          <w:sz w:val="24"/>
          <w:szCs w:val="24"/>
        </w:rPr>
        <w:t>,12</w:t>
      </w:r>
      <w:proofErr w:type="gramEnd"/>
      <w:r>
        <w:rPr>
          <w:rFonts w:cs="Cambria"/>
          <w:sz w:val="24"/>
          <w:szCs w:val="24"/>
        </w:rPr>
        <w:t>% sebagaimana dapat dilihat pada tabel di bawah ini :</w:t>
      </w:r>
    </w:p>
    <w:p w:rsidR="007335FD" w:rsidRDefault="00815898">
      <w:pPr>
        <w:pStyle w:val="NoSpacing"/>
        <w:jc w:val="center"/>
        <w:rPr>
          <w:b/>
          <w:bCs/>
          <w:sz w:val="24"/>
          <w:szCs w:val="24"/>
        </w:rPr>
      </w:pPr>
      <w:r>
        <w:rPr>
          <w:b/>
          <w:bCs/>
          <w:sz w:val="24"/>
          <w:szCs w:val="24"/>
        </w:rPr>
        <w:t>Tabel 3.8</w:t>
      </w:r>
    </w:p>
    <w:p w:rsidR="007335FD" w:rsidRDefault="00815898">
      <w:pPr>
        <w:pStyle w:val="NoSpacing"/>
        <w:ind w:leftChars="200" w:left="440"/>
        <w:jc w:val="center"/>
        <w:rPr>
          <w:b/>
          <w:bCs/>
          <w:sz w:val="24"/>
          <w:szCs w:val="24"/>
        </w:rPr>
      </w:pPr>
      <w:r>
        <w:rPr>
          <w:b/>
          <w:bCs/>
          <w:sz w:val="24"/>
          <w:szCs w:val="24"/>
        </w:rPr>
        <w:t>Perbandingan realisasi kinerja sampai dengan tahun 2021 dengan target jangka menengah yang terdapat dalam dokumen Renstra</w:t>
      </w:r>
    </w:p>
    <w:p w:rsidR="007335FD" w:rsidRDefault="007335FD">
      <w:pPr>
        <w:pStyle w:val="NoSpacing"/>
        <w:jc w:val="center"/>
        <w:rPr>
          <w:b/>
          <w:bCs/>
          <w:sz w:val="24"/>
          <w:szCs w:val="24"/>
        </w:rPr>
      </w:pPr>
    </w:p>
    <w:tbl>
      <w:tblPr>
        <w:tblStyle w:val="TableGrid"/>
        <w:tblW w:w="8976" w:type="dxa"/>
        <w:tblInd w:w="573" w:type="dxa"/>
        <w:tblLayout w:type="fixed"/>
        <w:tblLook w:val="04A0" w:firstRow="1" w:lastRow="0" w:firstColumn="1" w:lastColumn="0" w:noHBand="0" w:noVBand="1"/>
      </w:tblPr>
      <w:tblGrid>
        <w:gridCol w:w="1488"/>
        <w:gridCol w:w="1145"/>
        <w:gridCol w:w="878"/>
        <w:gridCol w:w="1166"/>
        <w:gridCol w:w="795"/>
        <w:gridCol w:w="1168"/>
        <w:gridCol w:w="1168"/>
        <w:gridCol w:w="1168"/>
      </w:tblGrid>
      <w:tr w:rsidR="007335FD">
        <w:tc>
          <w:tcPr>
            <w:tcW w:w="1488" w:type="dxa"/>
            <w:vMerge w:val="restart"/>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INDIKATOR KINERJA</w:t>
            </w:r>
          </w:p>
        </w:tc>
        <w:tc>
          <w:tcPr>
            <w:tcW w:w="1145" w:type="dxa"/>
            <w:vMerge w:val="restart"/>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SATUAN</w:t>
            </w:r>
          </w:p>
        </w:tc>
        <w:tc>
          <w:tcPr>
            <w:tcW w:w="2044"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TAHUN 2018</w:t>
            </w:r>
          </w:p>
        </w:tc>
        <w:tc>
          <w:tcPr>
            <w:tcW w:w="795" w:type="dxa"/>
            <w:vMerge w:val="restart"/>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w:t>
            </w:r>
          </w:p>
        </w:tc>
        <w:tc>
          <w:tcPr>
            <w:tcW w:w="2336"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TAHUN 2021</w:t>
            </w:r>
          </w:p>
        </w:tc>
        <w:tc>
          <w:tcPr>
            <w:tcW w:w="1168" w:type="dxa"/>
            <w:vMerge w:val="restart"/>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w:t>
            </w:r>
          </w:p>
        </w:tc>
      </w:tr>
      <w:tr w:rsidR="007335FD">
        <w:tc>
          <w:tcPr>
            <w:tcW w:w="1488" w:type="dxa"/>
            <w:vMerge/>
            <w:vAlign w:val="center"/>
          </w:tcPr>
          <w:p w:rsidR="007335FD" w:rsidRDefault="007335FD">
            <w:pPr>
              <w:autoSpaceDE w:val="0"/>
              <w:autoSpaceDN w:val="0"/>
              <w:adjustRightInd w:val="0"/>
              <w:spacing w:line="360" w:lineRule="auto"/>
              <w:jc w:val="center"/>
              <w:rPr>
                <w:rFonts w:cs="Cambria"/>
                <w:b/>
                <w:sz w:val="24"/>
                <w:szCs w:val="24"/>
              </w:rPr>
            </w:pPr>
          </w:p>
        </w:tc>
        <w:tc>
          <w:tcPr>
            <w:tcW w:w="1145" w:type="dxa"/>
            <w:vMerge/>
            <w:vAlign w:val="center"/>
          </w:tcPr>
          <w:p w:rsidR="007335FD" w:rsidRDefault="007335FD">
            <w:pPr>
              <w:autoSpaceDE w:val="0"/>
              <w:autoSpaceDN w:val="0"/>
              <w:adjustRightInd w:val="0"/>
              <w:spacing w:line="360" w:lineRule="auto"/>
              <w:jc w:val="center"/>
              <w:rPr>
                <w:rFonts w:cs="Cambria"/>
                <w:b/>
                <w:sz w:val="24"/>
                <w:szCs w:val="24"/>
              </w:rPr>
            </w:pPr>
          </w:p>
        </w:tc>
        <w:tc>
          <w:tcPr>
            <w:tcW w:w="878" w:type="dxa"/>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Target</w:t>
            </w:r>
          </w:p>
        </w:tc>
        <w:tc>
          <w:tcPr>
            <w:tcW w:w="1166" w:type="dxa"/>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Realisasi</w:t>
            </w:r>
          </w:p>
        </w:tc>
        <w:tc>
          <w:tcPr>
            <w:tcW w:w="795" w:type="dxa"/>
            <w:vMerge/>
            <w:shd w:val="clear" w:color="auto" w:fill="006600"/>
            <w:vAlign w:val="center"/>
          </w:tcPr>
          <w:p w:rsidR="007335FD" w:rsidRDefault="007335FD">
            <w:pPr>
              <w:autoSpaceDE w:val="0"/>
              <w:autoSpaceDN w:val="0"/>
              <w:adjustRightInd w:val="0"/>
              <w:spacing w:line="360" w:lineRule="auto"/>
              <w:jc w:val="center"/>
              <w:rPr>
                <w:rFonts w:cs="Cambria"/>
                <w:b/>
                <w:sz w:val="24"/>
                <w:szCs w:val="24"/>
              </w:rPr>
            </w:pPr>
          </w:p>
        </w:tc>
        <w:tc>
          <w:tcPr>
            <w:tcW w:w="1168" w:type="dxa"/>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Target</w:t>
            </w:r>
          </w:p>
        </w:tc>
        <w:tc>
          <w:tcPr>
            <w:tcW w:w="1168" w:type="dxa"/>
            <w:shd w:val="clear" w:color="auto" w:fill="C00000"/>
            <w:vAlign w:val="center"/>
          </w:tcPr>
          <w:p w:rsidR="007335FD" w:rsidRDefault="00815898">
            <w:pPr>
              <w:autoSpaceDE w:val="0"/>
              <w:autoSpaceDN w:val="0"/>
              <w:adjustRightInd w:val="0"/>
              <w:spacing w:line="360" w:lineRule="auto"/>
              <w:jc w:val="center"/>
              <w:rPr>
                <w:rFonts w:cs="Cambria"/>
                <w:b/>
                <w:sz w:val="24"/>
                <w:szCs w:val="24"/>
              </w:rPr>
            </w:pPr>
            <w:r>
              <w:rPr>
                <w:rFonts w:cs="Cambria"/>
                <w:b/>
                <w:sz w:val="24"/>
                <w:szCs w:val="24"/>
              </w:rPr>
              <w:t>Realisasi s.d 2018</w:t>
            </w:r>
          </w:p>
        </w:tc>
        <w:tc>
          <w:tcPr>
            <w:tcW w:w="1168" w:type="dxa"/>
            <w:vMerge/>
            <w:shd w:val="clear" w:color="auto" w:fill="C00000"/>
            <w:vAlign w:val="center"/>
          </w:tcPr>
          <w:p w:rsidR="007335FD" w:rsidRDefault="007335FD">
            <w:pPr>
              <w:autoSpaceDE w:val="0"/>
              <w:autoSpaceDN w:val="0"/>
              <w:adjustRightInd w:val="0"/>
              <w:spacing w:line="360" w:lineRule="auto"/>
              <w:jc w:val="center"/>
              <w:rPr>
                <w:rFonts w:cs="Cambria"/>
                <w:b/>
                <w:sz w:val="24"/>
                <w:szCs w:val="24"/>
              </w:rPr>
            </w:pPr>
          </w:p>
        </w:tc>
      </w:tr>
      <w:tr w:rsidR="007335FD">
        <w:tc>
          <w:tcPr>
            <w:tcW w:w="1488" w:type="dxa"/>
          </w:tcPr>
          <w:p w:rsidR="007335FD" w:rsidRDefault="00815898">
            <w:pPr>
              <w:autoSpaceDE w:val="0"/>
              <w:autoSpaceDN w:val="0"/>
              <w:adjustRightInd w:val="0"/>
              <w:rPr>
                <w:rFonts w:cs="Cambria"/>
              </w:rPr>
            </w:pPr>
            <w:r>
              <w:rPr>
                <w:rFonts w:cs="Cambria"/>
              </w:rPr>
              <w:t>Nilai evaluasi akuntabilitas kinerja</w:t>
            </w:r>
          </w:p>
        </w:tc>
        <w:tc>
          <w:tcPr>
            <w:tcW w:w="1145" w:type="dxa"/>
          </w:tcPr>
          <w:p w:rsidR="007335FD" w:rsidRDefault="00815898">
            <w:pPr>
              <w:autoSpaceDE w:val="0"/>
              <w:autoSpaceDN w:val="0"/>
              <w:adjustRightInd w:val="0"/>
              <w:spacing w:line="360" w:lineRule="auto"/>
              <w:jc w:val="center"/>
              <w:rPr>
                <w:rFonts w:cs="Cambria"/>
              </w:rPr>
            </w:pPr>
            <w:r>
              <w:rPr>
                <w:rFonts w:cs="Cambria"/>
              </w:rPr>
              <w:t>Nilai</w:t>
            </w:r>
          </w:p>
        </w:tc>
        <w:tc>
          <w:tcPr>
            <w:tcW w:w="878" w:type="dxa"/>
          </w:tcPr>
          <w:p w:rsidR="007335FD" w:rsidRDefault="00815898">
            <w:pPr>
              <w:autoSpaceDE w:val="0"/>
              <w:autoSpaceDN w:val="0"/>
              <w:adjustRightInd w:val="0"/>
              <w:spacing w:line="360" w:lineRule="auto"/>
              <w:jc w:val="center"/>
              <w:rPr>
                <w:rFonts w:cs="Cambria"/>
              </w:rPr>
            </w:pPr>
            <w:r>
              <w:rPr>
                <w:rFonts w:cs="Cambria"/>
              </w:rPr>
              <w:t>BB(74)</w:t>
            </w:r>
          </w:p>
        </w:tc>
        <w:tc>
          <w:tcPr>
            <w:tcW w:w="1166" w:type="dxa"/>
          </w:tcPr>
          <w:p w:rsidR="007335FD" w:rsidRDefault="00815898">
            <w:pPr>
              <w:autoSpaceDE w:val="0"/>
              <w:autoSpaceDN w:val="0"/>
              <w:adjustRightInd w:val="0"/>
              <w:spacing w:line="360" w:lineRule="auto"/>
              <w:jc w:val="center"/>
              <w:rPr>
                <w:rFonts w:cs="Cambria"/>
              </w:rPr>
            </w:pPr>
            <w:r>
              <w:rPr>
                <w:rFonts w:cs="Cambria"/>
              </w:rPr>
              <w:t>62,50</w:t>
            </w:r>
          </w:p>
        </w:tc>
        <w:tc>
          <w:tcPr>
            <w:tcW w:w="795" w:type="dxa"/>
          </w:tcPr>
          <w:p w:rsidR="007335FD" w:rsidRDefault="00815898">
            <w:pPr>
              <w:autoSpaceDE w:val="0"/>
              <w:autoSpaceDN w:val="0"/>
              <w:adjustRightInd w:val="0"/>
              <w:spacing w:line="360" w:lineRule="auto"/>
              <w:jc w:val="center"/>
              <w:rPr>
                <w:rFonts w:cs="Aparajita"/>
              </w:rPr>
            </w:pPr>
            <w:r>
              <w:rPr>
                <w:rFonts w:cs="Aparajita"/>
              </w:rPr>
              <w:t>84,45</w:t>
            </w:r>
          </w:p>
          <w:p w:rsidR="007335FD" w:rsidRDefault="007335FD">
            <w:pPr>
              <w:autoSpaceDE w:val="0"/>
              <w:autoSpaceDN w:val="0"/>
              <w:adjustRightInd w:val="0"/>
              <w:spacing w:line="360" w:lineRule="auto"/>
              <w:jc w:val="center"/>
              <w:rPr>
                <w:rFonts w:cs="Cambria"/>
              </w:rPr>
            </w:pPr>
          </w:p>
        </w:tc>
        <w:tc>
          <w:tcPr>
            <w:tcW w:w="1168" w:type="dxa"/>
          </w:tcPr>
          <w:p w:rsidR="007335FD" w:rsidRDefault="00815898">
            <w:pPr>
              <w:autoSpaceDE w:val="0"/>
              <w:autoSpaceDN w:val="0"/>
              <w:adjustRightInd w:val="0"/>
              <w:spacing w:line="360" w:lineRule="auto"/>
              <w:jc w:val="center"/>
              <w:rPr>
                <w:rFonts w:cs="Cambria"/>
              </w:rPr>
            </w:pPr>
            <w:r>
              <w:rPr>
                <w:rFonts w:cs="Cambria"/>
              </w:rPr>
              <w:t>BB (80)</w:t>
            </w:r>
          </w:p>
        </w:tc>
        <w:tc>
          <w:tcPr>
            <w:tcW w:w="1168" w:type="dxa"/>
          </w:tcPr>
          <w:p w:rsidR="007335FD" w:rsidRDefault="00815898">
            <w:pPr>
              <w:autoSpaceDE w:val="0"/>
              <w:autoSpaceDN w:val="0"/>
              <w:adjustRightInd w:val="0"/>
              <w:spacing w:line="360" w:lineRule="auto"/>
              <w:jc w:val="center"/>
              <w:rPr>
                <w:rFonts w:cs="Cambria"/>
              </w:rPr>
            </w:pPr>
            <w:r>
              <w:rPr>
                <w:rFonts w:cs="Cambria"/>
              </w:rPr>
              <w:t>62,50</w:t>
            </w:r>
          </w:p>
        </w:tc>
        <w:tc>
          <w:tcPr>
            <w:tcW w:w="1168" w:type="dxa"/>
          </w:tcPr>
          <w:p w:rsidR="007335FD" w:rsidRDefault="00815898">
            <w:pPr>
              <w:autoSpaceDE w:val="0"/>
              <w:autoSpaceDN w:val="0"/>
              <w:adjustRightInd w:val="0"/>
              <w:spacing w:line="360" w:lineRule="auto"/>
              <w:jc w:val="center"/>
              <w:rPr>
                <w:rFonts w:cs="Cambria"/>
              </w:rPr>
            </w:pPr>
            <w:r>
              <w:rPr>
                <w:rFonts w:cs="Cambria"/>
              </w:rPr>
              <w:t>78,12</w:t>
            </w:r>
          </w:p>
        </w:tc>
      </w:tr>
    </w:tbl>
    <w:p w:rsidR="007335FD" w:rsidRDefault="007335FD">
      <w:pPr>
        <w:pStyle w:val="Default"/>
        <w:spacing w:line="360" w:lineRule="auto"/>
        <w:ind w:firstLine="426"/>
        <w:jc w:val="both"/>
        <w:rPr>
          <w:rFonts w:asciiTheme="minorHAnsi" w:hAnsiTheme="minorHAnsi" w:cs="Cambria"/>
        </w:rPr>
      </w:pPr>
    </w:p>
    <w:p w:rsidR="007335FD" w:rsidRDefault="00815898">
      <w:pPr>
        <w:pStyle w:val="Default"/>
        <w:spacing w:line="360" w:lineRule="auto"/>
        <w:ind w:leftChars="200" w:left="440" w:firstLine="660"/>
        <w:jc w:val="both"/>
        <w:rPr>
          <w:rFonts w:asciiTheme="minorHAnsi" w:hAnsiTheme="minorHAnsi" w:cs="Cambria"/>
        </w:rPr>
      </w:pPr>
      <w:r>
        <w:rPr>
          <w:rFonts w:asciiTheme="minorHAnsi" w:hAnsiTheme="minorHAnsi" w:cs="Cambria"/>
        </w:rPr>
        <w:t xml:space="preserve">Apabila dibandingkan dengan target nasional sebagaimana yang terlampir dalam PermenPan dan RB Nomor 12 Tahun 2105 tentang </w:t>
      </w:r>
      <w:r>
        <w:rPr>
          <w:rFonts w:asciiTheme="minorHAnsi" w:hAnsiTheme="minorHAnsi"/>
        </w:rPr>
        <w:t>Pedoman Evaluasi Atas Implementasi Sistem Akuntabilitas Kinerja Instansi Pemerintah, nilai evaluasi laporan akuntabilitas Badan Kesbangpol Prov Sumbar memperoleh nilai B. Perbandingan nilai akuntabiltas dari Kemenpan-RB</w:t>
      </w:r>
      <w:r>
        <w:rPr>
          <w:rFonts w:asciiTheme="minorHAnsi" w:hAnsiTheme="minorHAnsi" w:cs="Cambria"/>
        </w:rPr>
        <w:t xml:space="preserve"> dengan kinerja Badan Kesbangpol Prov Sumbar  dapat dilihat pada tabel berikut :</w:t>
      </w: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Tabel 3.9</w:t>
      </w:r>
    </w:p>
    <w:p w:rsidR="007335FD" w:rsidRDefault="00815898">
      <w:pPr>
        <w:pStyle w:val="NoSpacing"/>
        <w:jc w:val="center"/>
        <w:rPr>
          <w:rFonts w:hAnsi="Berlin Sans FB Demi"/>
          <w:b/>
          <w:bCs/>
          <w:sz w:val="24"/>
          <w:szCs w:val="24"/>
        </w:rPr>
      </w:pPr>
      <w:r>
        <w:rPr>
          <w:rFonts w:hAnsi="Berlin Sans FB Demi"/>
          <w:b/>
          <w:bCs/>
          <w:sz w:val="24"/>
          <w:szCs w:val="24"/>
        </w:rPr>
        <w:t>Perbandingan Nilai Akuntabilitas Kinerja dari Kemenpan-RB dengan Kinerja Badan Kesbangpol Prov Sumbar Tahun 2018</w:t>
      </w:r>
    </w:p>
    <w:tbl>
      <w:tblPr>
        <w:tblStyle w:val="TableGrid"/>
        <w:tblpPr w:leftFromText="180" w:rightFromText="180" w:vertAnchor="text" w:horzAnchor="page" w:tblpX="1752" w:tblpY="241"/>
        <w:tblOverlap w:val="never"/>
        <w:tblW w:w="7139" w:type="dxa"/>
        <w:tblLayout w:type="fixed"/>
        <w:tblLook w:val="04A0" w:firstRow="1" w:lastRow="0" w:firstColumn="1" w:lastColumn="0" w:noHBand="0" w:noVBand="1"/>
      </w:tblPr>
      <w:tblGrid>
        <w:gridCol w:w="456"/>
        <w:gridCol w:w="928"/>
        <w:gridCol w:w="1276"/>
        <w:gridCol w:w="4479"/>
      </w:tblGrid>
      <w:tr w:rsidR="007335FD">
        <w:tc>
          <w:tcPr>
            <w:tcW w:w="456" w:type="dxa"/>
            <w:shd w:val="clear" w:color="auto" w:fill="C00000"/>
          </w:tcPr>
          <w:p w:rsidR="007335FD" w:rsidRDefault="00815898">
            <w:pPr>
              <w:autoSpaceDE w:val="0"/>
              <w:autoSpaceDN w:val="0"/>
              <w:adjustRightInd w:val="0"/>
              <w:spacing w:line="360" w:lineRule="auto"/>
              <w:jc w:val="both"/>
              <w:rPr>
                <w:rFonts w:cs="Cambria"/>
                <w:b/>
                <w:sz w:val="20"/>
                <w:szCs w:val="20"/>
              </w:rPr>
            </w:pPr>
            <w:r>
              <w:rPr>
                <w:rFonts w:cs="Cambria"/>
                <w:b/>
                <w:sz w:val="20"/>
                <w:szCs w:val="20"/>
              </w:rPr>
              <w:t>No</w:t>
            </w:r>
          </w:p>
        </w:tc>
        <w:tc>
          <w:tcPr>
            <w:tcW w:w="928" w:type="dxa"/>
            <w:shd w:val="clear" w:color="auto" w:fill="C00000"/>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Kategori</w:t>
            </w:r>
          </w:p>
        </w:tc>
        <w:tc>
          <w:tcPr>
            <w:tcW w:w="1276" w:type="dxa"/>
            <w:shd w:val="clear" w:color="auto" w:fill="C00000"/>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Nilai Angka</w:t>
            </w:r>
          </w:p>
        </w:tc>
        <w:tc>
          <w:tcPr>
            <w:tcW w:w="4479" w:type="dxa"/>
            <w:shd w:val="clear" w:color="auto" w:fill="C00000"/>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Interpretasi</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1</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AA</w:t>
            </w:r>
          </w:p>
        </w:tc>
        <w:tc>
          <w:tcPr>
            <w:tcW w:w="127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&gt;90-100</w:t>
            </w:r>
          </w:p>
        </w:tc>
        <w:tc>
          <w:tcPr>
            <w:tcW w:w="4479"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Sangat Memuaskan</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lastRenderedPageBreak/>
              <w:t>2</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A</w:t>
            </w:r>
          </w:p>
        </w:tc>
        <w:tc>
          <w:tcPr>
            <w:tcW w:w="1276" w:type="dxa"/>
          </w:tcPr>
          <w:p w:rsidR="007335FD" w:rsidRDefault="00815898">
            <w:pPr>
              <w:jc w:val="center"/>
              <w:rPr>
                <w:sz w:val="20"/>
                <w:szCs w:val="20"/>
              </w:rPr>
            </w:pPr>
            <w:r>
              <w:rPr>
                <w:rFonts w:cs="Cambria"/>
                <w:sz w:val="20"/>
                <w:szCs w:val="20"/>
              </w:rPr>
              <w:t>&gt;80-90</w:t>
            </w:r>
          </w:p>
        </w:tc>
        <w:tc>
          <w:tcPr>
            <w:tcW w:w="4479" w:type="dxa"/>
          </w:tcPr>
          <w:p w:rsidR="007335FD" w:rsidRDefault="00815898">
            <w:pPr>
              <w:pStyle w:val="Default"/>
              <w:jc w:val="center"/>
              <w:rPr>
                <w:rFonts w:asciiTheme="minorHAnsi" w:hAnsiTheme="minorHAnsi" w:cs="Cambria"/>
                <w:sz w:val="20"/>
                <w:szCs w:val="20"/>
              </w:rPr>
            </w:pPr>
            <w:r>
              <w:rPr>
                <w:rFonts w:asciiTheme="minorHAnsi" w:hAnsiTheme="minorHAnsi"/>
                <w:b/>
                <w:bCs/>
                <w:sz w:val="20"/>
                <w:szCs w:val="20"/>
              </w:rPr>
              <w:t xml:space="preserve">Memuaskan, </w:t>
            </w:r>
            <w:r>
              <w:rPr>
                <w:rFonts w:asciiTheme="minorHAnsi" w:hAnsiTheme="minorHAnsi"/>
                <w:sz w:val="20"/>
                <w:szCs w:val="20"/>
              </w:rPr>
              <w:t>Memimpin perubahan, berkinerja tinggi, dan sangat akuntabel</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3</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BB</w:t>
            </w:r>
          </w:p>
        </w:tc>
        <w:tc>
          <w:tcPr>
            <w:tcW w:w="1276" w:type="dxa"/>
          </w:tcPr>
          <w:p w:rsidR="007335FD" w:rsidRDefault="00815898">
            <w:pPr>
              <w:jc w:val="center"/>
              <w:rPr>
                <w:sz w:val="20"/>
                <w:szCs w:val="20"/>
              </w:rPr>
            </w:pPr>
            <w:r>
              <w:rPr>
                <w:rFonts w:cs="Cambria"/>
                <w:sz w:val="20"/>
                <w:szCs w:val="20"/>
              </w:rPr>
              <w:t>&gt;70-80</w:t>
            </w:r>
          </w:p>
        </w:tc>
        <w:tc>
          <w:tcPr>
            <w:tcW w:w="4479" w:type="dxa"/>
          </w:tcPr>
          <w:p w:rsidR="007335FD" w:rsidRDefault="00815898">
            <w:pPr>
              <w:pStyle w:val="Default"/>
              <w:jc w:val="center"/>
              <w:rPr>
                <w:rFonts w:asciiTheme="minorHAnsi" w:hAnsiTheme="minorHAnsi" w:cs="Cambria"/>
                <w:sz w:val="20"/>
                <w:szCs w:val="20"/>
              </w:rPr>
            </w:pPr>
            <w:r>
              <w:rPr>
                <w:rFonts w:asciiTheme="minorHAnsi" w:hAnsiTheme="minorHAnsi"/>
                <w:b/>
                <w:bCs/>
                <w:sz w:val="20"/>
                <w:szCs w:val="20"/>
              </w:rPr>
              <w:t xml:space="preserve">Sangat Baik, </w:t>
            </w:r>
            <w:r>
              <w:rPr>
                <w:rFonts w:asciiTheme="minorHAnsi" w:hAnsiTheme="minorHAnsi"/>
                <w:sz w:val="20"/>
                <w:szCs w:val="20"/>
              </w:rPr>
              <w:t xml:space="preserve">Akuntabel, berkinerja baik, memiliki </w:t>
            </w:r>
            <w:r>
              <w:rPr>
                <w:rFonts w:asciiTheme="minorHAnsi" w:hAnsiTheme="minorHAnsi"/>
                <w:sz w:val="20"/>
                <w:szCs w:val="20"/>
              </w:rPr>
              <w:pgNum/>
            </w:r>
            <w:r>
              <w:rPr>
                <w:rFonts w:asciiTheme="minorHAnsi" w:hAnsiTheme="minorHAnsi"/>
                <w:sz w:val="20"/>
                <w:szCs w:val="20"/>
              </w:rPr>
              <w:t>ystem manajemen kinerja yang andal.</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4</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B</w:t>
            </w:r>
          </w:p>
        </w:tc>
        <w:tc>
          <w:tcPr>
            <w:tcW w:w="1276" w:type="dxa"/>
          </w:tcPr>
          <w:p w:rsidR="007335FD" w:rsidRDefault="00815898">
            <w:pPr>
              <w:jc w:val="center"/>
              <w:rPr>
                <w:sz w:val="20"/>
                <w:szCs w:val="20"/>
              </w:rPr>
            </w:pPr>
            <w:r>
              <w:rPr>
                <w:rFonts w:cs="Cambria"/>
                <w:sz w:val="20"/>
                <w:szCs w:val="20"/>
              </w:rPr>
              <w:t>&gt;60-70</w:t>
            </w:r>
          </w:p>
        </w:tc>
        <w:tc>
          <w:tcPr>
            <w:tcW w:w="4479" w:type="dxa"/>
          </w:tcPr>
          <w:p w:rsidR="007335FD" w:rsidRDefault="00815898">
            <w:pPr>
              <w:pStyle w:val="Default"/>
              <w:jc w:val="center"/>
              <w:rPr>
                <w:rFonts w:asciiTheme="minorHAnsi" w:hAnsiTheme="minorHAnsi" w:cs="Cambria"/>
                <w:sz w:val="20"/>
                <w:szCs w:val="20"/>
              </w:rPr>
            </w:pPr>
            <w:r>
              <w:rPr>
                <w:rFonts w:asciiTheme="minorHAnsi" w:hAnsiTheme="minorHAnsi"/>
                <w:b/>
                <w:bCs/>
                <w:sz w:val="20"/>
                <w:szCs w:val="20"/>
              </w:rPr>
              <w:t xml:space="preserve">Baik, </w:t>
            </w:r>
            <w:r>
              <w:rPr>
                <w:rFonts w:asciiTheme="minorHAnsi" w:hAnsiTheme="minorHAnsi"/>
                <w:sz w:val="20"/>
                <w:szCs w:val="20"/>
              </w:rPr>
              <w:t xml:space="preserve">Akuntabilitas kinerjanya sudah baik, memiliki </w:t>
            </w:r>
            <w:r>
              <w:rPr>
                <w:rFonts w:asciiTheme="minorHAnsi" w:hAnsiTheme="minorHAnsi"/>
                <w:sz w:val="20"/>
                <w:szCs w:val="20"/>
              </w:rPr>
              <w:pgNum/>
            </w:r>
            <w:r>
              <w:rPr>
                <w:rFonts w:asciiTheme="minorHAnsi" w:hAnsiTheme="minorHAnsi"/>
                <w:sz w:val="20"/>
                <w:szCs w:val="20"/>
              </w:rPr>
              <w:t>ystem yang dapat digunakan untuk manajemen kinerja, dan perlu sedikit perbaikan</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 xml:space="preserve"> 5</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CC</w:t>
            </w:r>
          </w:p>
        </w:tc>
        <w:tc>
          <w:tcPr>
            <w:tcW w:w="1276" w:type="dxa"/>
          </w:tcPr>
          <w:p w:rsidR="007335FD" w:rsidRDefault="00815898">
            <w:pPr>
              <w:jc w:val="center"/>
              <w:rPr>
                <w:sz w:val="20"/>
                <w:szCs w:val="20"/>
              </w:rPr>
            </w:pPr>
            <w:r>
              <w:rPr>
                <w:rFonts w:cs="Cambria"/>
                <w:sz w:val="20"/>
                <w:szCs w:val="20"/>
              </w:rPr>
              <w:t>&gt;50-60</w:t>
            </w:r>
          </w:p>
        </w:tc>
        <w:tc>
          <w:tcPr>
            <w:tcW w:w="4479" w:type="dxa"/>
          </w:tcPr>
          <w:p w:rsidR="007335FD" w:rsidRDefault="00851EC5">
            <w:pPr>
              <w:pStyle w:val="Default"/>
              <w:jc w:val="center"/>
              <w:rPr>
                <w:rFonts w:asciiTheme="minorHAnsi" w:hAnsiTheme="minorHAnsi" w:cs="Cambria"/>
                <w:sz w:val="20"/>
                <w:szCs w:val="20"/>
              </w:rPr>
            </w:pPr>
            <w:r>
              <w:rPr>
                <w:rFonts w:cs="Cambri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5" type="#_x0000_t66" style="position:absolute;left:0;text-align:left;margin-left:220.6pt;margin-top:.6pt;width:22.25pt;height:28.35pt;z-index:251698176;mso-position-horizontal-relative:text;mso-position-vertical-relative:text;mso-width-relative:page;mso-height-relative:page" fillcolor="#c00000"/>
              </w:pict>
            </w:r>
            <w:r w:rsidR="00815898">
              <w:rPr>
                <w:rFonts w:asciiTheme="minorHAnsi" w:hAnsiTheme="minorHAnsi"/>
                <w:b/>
                <w:bCs/>
                <w:sz w:val="20"/>
                <w:szCs w:val="20"/>
              </w:rPr>
              <w:t xml:space="preserve">Cukup (Memadai), </w:t>
            </w:r>
            <w:r w:rsidR="00815898">
              <w:rPr>
                <w:rFonts w:asciiTheme="minorHAnsi" w:hAnsiTheme="minorHAnsi"/>
                <w:sz w:val="20"/>
                <w:szCs w:val="20"/>
              </w:rPr>
              <w:t>Akuntabilitas kinerjanya cukup baik, taat kebijakan, memiliki sistem yang dapat digunakan untuk memproduksi informasi kinerja untuk pertanggung jawaban, perlu banyak perbaikan tidak mendasar.</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 xml:space="preserve"> 6</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C</w:t>
            </w:r>
          </w:p>
        </w:tc>
        <w:tc>
          <w:tcPr>
            <w:tcW w:w="1276" w:type="dxa"/>
          </w:tcPr>
          <w:p w:rsidR="007335FD" w:rsidRDefault="00815898">
            <w:pPr>
              <w:jc w:val="center"/>
              <w:rPr>
                <w:sz w:val="20"/>
                <w:szCs w:val="20"/>
              </w:rPr>
            </w:pPr>
            <w:r>
              <w:rPr>
                <w:rFonts w:cs="Cambria"/>
                <w:sz w:val="20"/>
                <w:szCs w:val="20"/>
              </w:rPr>
              <w:t>&gt;30-50</w:t>
            </w:r>
          </w:p>
        </w:tc>
        <w:tc>
          <w:tcPr>
            <w:tcW w:w="4479" w:type="dxa"/>
          </w:tcPr>
          <w:p w:rsidR="007335FD" w:rsidRDefault="00815898">
            <w:pPr>
              <w:pStyle w:val="Default"/>
              <w:jc w:val="center"/>
              <w:rPr>
                <w:rFonts w:asciiTheme="minorHAnsi" w:hAnsiTheme="minorHAnsi" w:cs="Cambria"/>
                <w:sz w:val="20"/>
                <w:szCs w:val="20"/>
              </w:rPr>
            </w:pPr>
            <w:r>
              <w:rPr>
                <w:rFonts w:asciiTheme="minorHAnsi" w:hAnsiTheme="minorHAnsi"/>
                <w:b/>
                <w:bCs/>
                <w:sz w:val="20"/>
                <w:szCs w:val="20"/>
              </w:rPr>
              <w:t xml:space="preserve">Kurang, </w:t>
            </w:r>
            <w:r>
              <w:rPr>
                <w:rFonts w:asciiTheme="minorHAnsi" w:hAnsiTheme="minorHAnsi"/>
                <w:sz w:val="20"/>
                <w:szCs w:val="20"/>
              </w:rPr>
              <w:t>Sistem dan tatanan kurang dapat diandalkan, memiliki sistem untuk manajemen kinerja tapi perlu banyak perbaikan minor dan perbaikan yang mendasar</w:t>
            </w:r>
          </w:p>
        </w:tc>
      </w:tr>
      <w:tr w:rsidR="007335FD">
        <w:tc>
          <w:tcPr>
            <w:tcW w:w="45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7</w:t>
            </w:r>
          </w:p>
        </w:tc>
        <w:tc>
          <w:tcPr>
            <w:tcW w:w="92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D</w:t>
            </w:r>
          </w:p>
        </w:tc>
        <w:tc>
          <w:tcPr>
            <w:tcW w:w="1276" w:type="dxa"/>
          </w:tcPr>
          <w:p w:rsidR="007335FD" w:rsidRDefault="00815898">
            <w:pPr>
              <w:jc w:val="center"/>
              <w:rPr>
                <w:sz w:val="20"/>
                <w:szCs w:val="20"/>
              </w:rPr>
            </w:pPr>
            <w:r>
              <w:rPr>
                <w:rFonts w:cs="Cambria"/>
                <w:sz w:val="20"/>
                <w:szCs w:val="20"/>
              </w:rPr>
              <w:t>&gt;0-30</w:t>
            </w:r>
          </w:p>
        </w:tc>
        <w:tc>
          <w:tcPr>
            <w:tcW w:w="4479" w:type="dxa"/>
          </w:tcPr>
          <w:p w:rsidR="007335FD" w:rsidRDefault="00815898">
            <w:pPr>
              <w:pStyle w:val="Default"/>
              <w:jc w:val="center"/>
              <w:rPr>
                <w:rFonts w:asciiTheme="minorHAnsi" w:hAnsiTheme="minorHAnsi" w:cs="Cambria"/>
                <w:sz w:val="20"/>
                <w:szCs w:val="20"/>
              </w:rPr>
            </w:pPr>
            <w:r>
              <w:rPr>
                <w:rFonts w:asciiTheme="minorHAnsi" w:hAnsiTheme="minorHAnsi"/>
                <w:b/>
                <w:bCs/>
                <w:sz w:val="20"/>
                <w:szCs w:val="20"/>
              </w:rPr>
              <w:t xml:space="preserve">Sangat Kurang, </w:t>
            </w:r>
            <w:r>
              <w:rPr>
                <w:rFonts w:asciiTheme="minorHAnsi" w:hAnsiTheme="minorHAnsi"/>
                <w:sz w:val="20"/>
                <w:szCs w:val="20"/>
              </w:rPr>
              <w:t>Sistem dan tatanan tidak dapat diandalkan untuk penerapan manajemen kinerja; Perlu banyak perbaikan, sebagian perubahan yang sangat mendasar.</w:t>
            </w:r>
          </w:p>
        </w:tc>
      </w:tr>
    </w:tbl>
    <w:tbl>
      <w:tblPr>
        <w:tblStyle w:val="TableGrid"/>
        <w:tblpPr w:leftFromText="180" w:rightFromText="180" w:vertAnchor="text" w:horzAnchor="page" w:tblpX="9476" w:tblpY="292"/>
        <w:tblOverlap w:val="never"/>
        <w:tblW w:w="1556" w:type="dxa"/>
        <w:tblLayout w:type="fixed"/>
        <w:tblLook w:val="04A0" w:firstRow="1" w:lastRow="0" w:firstColumn="1" w:lastColumn="0" w:noHBand="0" w:noVBand="1"/>
      </w:tblPr>
      <w:tblGrid>
        <w:gridCol w:w="1556"/>
      </w:tblGrid>
      <w:tr w:rsidR="007335FD">
        <w:tc>
          <w:tcPr>
            <w:tcW w:w="1556" w:type="dxa"/>
            <w:shd w:val="clear" w:color="auto" w:fill="C00000"/>
          </w:tcPr>
          <w:p w:rsidR="007335FD" w:rsidRDefault="00815898">
            <w:pPr>
              <w:pStyle w:val="NoSpacing"/>
              <w:jc w:val="center"/>
              <w:rPr>
                <w:sz w:val="22"/>
                <w:szCs w:val="22"/>
              </w:rPr>
            </w:pPr>
            <w:r>
              <w:rPr>
                <w:b/>
                <w:sz w:val="22"/>
                <w:szCs w:val="22"/>
              </w:rPr>
              <w:t>Kinerja Badan Kesbangpol Prov.Sumba</w:t>
            </w:r>
            <w:r>
              <w:rPr>
                <w:sz w:val="22"/>
                <w:szCs w:val="22"/>
              </w:rPr>
              <w:t>r</w:t>
            </w:r>
          </w:p>
        </w:tc>
      </w:tr>
      <w:tr w:rsidR="007335FD">
        <w:tc>
          <w:tcPr>
            <w:tcW w:w="1556" w:type="dxa"/>
          </w:tcPr>
          <w:p w:rsidR="007335FD" w:rsidRDefault="00815898">
            <w:pPr>
              <w:autoSpaceDE w:val="0"/>
              <w:autoSpaceDN w:val="0"/>
              <w:adjustRightInd w:val="0"/>
              <w:spacing w:line="360" w:lineRule="auto"/>
              <w:jc w:val="center"/>
              <w:rPr>
                <w:rFonts w:cs="Cambria"/>
                <w:sz w:val="24"/>
                <w:szCs w:val="24"/>
              </w:rPr>
            </w:pPr>
            <w:r>
              <w:rPr>
                <w:rFonts w:cs="Cambria"/>
                <w:sz w:val="24"/>
                <w:szCs w:val="24"/>
              </w:rPr>
              <w:t>Target</w:t>
            </w:r>
          </w:p>
          <w:p w:rsidR="007335FD" w:rsidRDefault="00815898">
            <w:pPr>
              <w:autoSpaceDE w:val="0"/>
              <w:autoSpaceDN w:val="0"/>
              <w:adjustRightInd w:val="0"/>
              <w:spacing w:line="360" w:lineRule="auto"/>
              <w:jc w:val="center"/>
              <w:rPr>
                <w:rFonts w:cs="Cambria"/>
                <w:sz w:val="24"/>
                <w:szCs w:val="24"/>
              </w:rPr>
            </w:pPr>
            <w:r>
              <w:rPr>
                <w:rFonts w:cs="Cambria"/>
                <w:sz w:val="24"/>
                <w:szCs w:val="24"/>
              </w:rPr>
              <w:t>BB (74)</w:t>
            </w:r>
          </w:p>
          <w:p w:rsidR="007335FD" w:rsidRDefault="007335FD">
            <w:pPr>
              <w:autoSpaceDE w:val="0"/>
              <w:autoSpaceDN w:val="0"/>
              <w:adjustRightInd w:val="0"/>
              <w:spacing w:line="360" w:lineRule="auto"/>
              <w:jc w:val="center"/>
              <w:rPr>
                <w:rFonts w:cs="Cambria"/>
                <w:sz w:val="24"/>
                <w:szCs w:val="24"/>
              </w:rPr>
            </w:pPr>
          </w:p>
        </w:tc>
      </w:tr>
      <w:tr w:rsidR="007335FD">
        <w:trPr>
          <w:trHeight w:val="1231"/>
        </w:trPr>
        <w:tc>
          <w:tcPr>
            <w:tcW w:w="1556" w:type="dxa"/>
          </w:tcPr>
          <w:p w:rsidR="007335FD" w:rsidRDefault="00815898">
            <w:pPr>
              <w:autoSpaceDE w:val="0"/>
              <w:autoSpaceDN w:val="0"/>
              <w:adjustRightInd w:val="0"/>
              <w:spacing w:line="360" w:lineRule="auto"/>
              <w:jc w:val="center"/>
              <w:rPr>
                <w:rFonts w:cs="Cambria"/>
                <w:sz w:val="24"/>
                <w:szCs w:val="24"/>
              </w:rPr>
            </w:pPr>
            <w:r>
              <w:rPr>
                <w:rFonts w:cs="Cambria"/>
                <w:sz w:val="24"/>
                <w:szCs w:val="24"/>
              </w:rPr>
              <w:t>Realisasi</w:t>
            </w:r>
          </w:p>
          <w:p w:rsidR="007335FD" w:rsidRDefault="00815898">
            <w:pPr>
              <w:autoSpaceDE w:val="0"/>
              <w:autoSpaceDN w:val="0"/>
              <w:adjustRightInd w:val="0"/>
              <w:spacing w:line="360" w:lineRule="auto"/>
              <w:jc w:val="center"/>
              <w:rPr>
                <w:rFonts w:cs="Cambria"/>
                <w:sz w:val="24"/>
                <w:szCs w:val="24"/>
              </w:rPr>
            </w:pPr>
            <w:r>
              <w:rPr>
                <w:rFonts w:cs="Cambria"/>
                <w:sz w:val="24"/>
                <w:szCs w:val="24"/>
              </w:rPr>
              <w:t>62,50 (B)</w:t>
            </w:r>
          </w:p>
        </w:tc>
      </w:tr>
      <w:tr w:rsidR="007335FD">
        <w:trPr>
          <w:trHeight w:val="2294"/>
        </w:trPr>
        <w:tc>
          <w:tcPr>
            <w:tcW w:w="1556" w:type="dxa"/>
          </w:tcPr>
          <w:p w:rsidR="007335FD" w:rsidRDefault="007335FD">
            <w:pPr>
              <w:autoSpaceDE w:val="0"/>
              <w:autoSpaceDN w:val="0"/>
              <w:adjustRightInd w:val="0"/>
              <w:spacing w:line="360" w:lineRule="auto"/>
              <w:jc w:val="center"/>
              <w:rPr>
                <w:rFonts w:cs="Cambria"/>
                <w:sz w:val="24"/>
                <w:szCs w:val="24"/>
              </w:rPr>
            </w:pPr>
          </w:p>
          <w:p w:rsidR="007335FD" w:rsidRDefault="00815898">
            <w:pPr>
              <w:autoSpaceDE w:val="0"/>
              <w:autoSpaceDN w:val="0"/>
              <w:adjustRightInd w:val="0"/>
              <w:spacing w:line="360" w:lineRule="auto"/>
              <w:jc w:val="center"/>
              <w:rPr>
                <w:rFonts w:cs="Cambria"/>
                <w:sz w:val="24"/>
                <w:szCs w:val="24"/>
              </w:rPr>
            </w:pPr>
            <w:r>
              <w:rPr>
                <w:rFonts w:cs="Cambria"/>
                <w:sz w:val="24"/>
                <w:szCs w:val="24"/>
              </w:rPr>
              <w:t>Capaian 84,45%</w:t>
            </w:r>
          </w:p>
        </w:tc>
      </w:tr>
    </w:tbl>
    <w:p w:rsidR="007335FD" w:rsidRDefault="007335FD">
      <w:pPr>
        <w:pStyle w:val="NoSpacing"/>
        <w:jc w:val="center"/>
        <w:rPr>
          <w:rFonts w:hAnsi="Berlin Sans FB Demi"/>
          <w:b/>
          <w:bCs/>
          <w:sz w:val="24"/>
          <w:szCs w:val="24"/>
        </w:rPr>
      </w:pPr>
    </w:p>
    <w:p w:rsidR="007335FD" w:rsidRDefault="00815898">
      <w:pPr>
        <w:autoSpaceDE w:val="0"/>
        <w:autoSpaceDN w:val="0"/>
        <w:adjustRightInd w:val="0"/>
        <w:spacing w:after="0" w:line="360" w:lineRule="auto"/>
        <w:ind w:firstLine="426"/>
        <w:jc w:val="both"/>
        <w:rPr>
          <w:rFonts w:ascii="Cambria" w:hAnsi="Cambria" w:cs="Cambria"/>
          <w:sz w:val="24"/>
          <w:szCs w:val="24"/>
        </w:rPr>
      </w:pPr>
      <w:r>
        <w:rPr>
          <w:rFonts w:cs="Cambria"/>
          <w:sz w:val="24"/>
          <w:szCs w:val="24"/>
        </w:rPr>
        <w:br w:type="textWrapping" w:clear="all"/>
      </w:r>
      <w:r w:rsidR="00851EC5">
        <w:rPr>
          <w:rFonts w:ascii="Cambria" w:hAnsi="Cambria" w:cs="Cambria"/>
          <w:sz w:val="24"/>
          <w:szCs w:val="24"/>
        </w:rPr>
        <w:pict>
          <v:roundrect id="_x0000_s1056" style="position:absolute;left:0;text-align:left;margin-left:-7.55pt;margin-top:3.45pt;width:464.9pt;height:29.1pt;z-index:251700224;mso-position-horizontal-relative:text;mso-position-vertical-relative:text;mso-width-relative:page;mso-height-relative:page" arcsize="10923f" fillcolor="#c00000" strokecolor="#f2f2f2" strokeweight="3pt">
            <v:shadow on="t" type="perspective" color="#4f6228" opacity=".5" offset="1pt" offset2="-1pt,-2pt"/>
            <v:textbox>
              <w:txbxContent>
                <w:p w:rsidR="00815898" w:rsidRDefault="00815898">
                  <w:pPr>
                    <w:pStyle w:val="NoSpacing"/>
                    <w:rPr>
                      <w:color w:val="FFFFFF" w:themeColor="background1"/>
                      <w:sz w:val="24"/>
                      <w:szCs w:val="24"/>
                    </w:rPr>
                  </w:pPr>
                  <w:r>
                    <w:rPr>
                      <w:b/>
                      <w:sz w:val="28"/>
                      <w:szCs w:val="28"/>
                    </w:rPr>
                    <w:t>1.</w:t>
                  </w:r>
                  <w:r>
                    <w:rPr>
                      <w:b/>
                      <w:color w:val="FFFFFF" w:themeColor="background1"/>
                      <w:sz w:val="28"/>
                      <w:szCs w:val="28"/>
                    </w:rPr>
                    <w:t xml:space="preserve">2 </w:t>
                  </w:r>
                  <w:r>
                    <w:rPr>
                      <w:b/>
                      <w:color w:val="FFFFFF" w:themeColor="background1"/>
                      <w:sz w:val="24"/>
                      <w:szCs w:val="24"/>
                    </w:rPr>
                    <w:t>Persentase capaian realisasi fisik dan keuangan pelaksanaan program/kegiatan</w:t>
                  </w:r>
                </w:p>
                <w:p w:rsidR="00815898" w:rsidRDefault="00815898">
                  <w:pPr>
                    <w:rPr>
                      <w:b/>
                      <w:color w:val="FFFFFF" w:themeColor="background1"/>
                      <w:sz w:val="28"/>
                      <w:szCs w:val="28"/>
                    </w:rPr>
                  </w:pPr>
                </w:p>
              </w:txbxContent>
            </v:textbox>
          </v:roundrect>
        </w:pict>
      </w:r>
    </w:p>
    <w:p w:rsidR="007335FD" w:rsidRDefault="00815898">
      <w:pPr>
        <w:spacing w:line="360" w:lineRule="auto"/>
        <w:ind w:left="440" w:firstLineChars="275" w:firstLine="660"/>
        <w:jc w:val="both"/>
        <w:rPr>
          <w:rFonts w:hAnsi="Tahoma" w:cs="Tahoma"/>
          <w:sz w:val="24"/>
          <w:szCs w:val="24"/>
        </w:rPr>
      </w:pPr>
      <w:proofErr w:type="gramStart"/>
      <w:r>
        <w:rPr>
          <w:rFonts w:cs="Arial"/>
          <w:sz w:val="24"/>
          <w:szCs w:val="24"/>
        </w:rPr>
        <w:t>Persentase capaian realisasi fisik dan keuangan pelaksanaan program/kegiatan merupakan indikator kedua untuk pencapaian sasaran pertama yaitu meningkatnya tata kelola organisasi.</w:t>
      </w:r>
      <w:proofErr w:type="gramEnd"/>
      <w:r>
        <w:rPr>
          <w:rFonts w:cs="Arial"/>
          <w:sz w:val="24"/>
          <w:szCs w:val="24"/>
        </w:rPr>
        <w:t xml:space="preserve"> </w:t>
      </w:r>
      <w:r>
        <w:rPr>
          <w:rFonts w:hAnsi="Tahoma" w:cs="Tahoma"/>
          <w:sz w:val="24"/>
          <w:szCs w:val="24"/>
        </w:rPr>
        <w:t xml:space="preserve">Kinerja dianggap baik apabila persentase realisasi keuangan dan fisik tidak kurang atau </w:t>
      </w:r>
      <w:proofErr w:type="gramStart"/>
      <w:r>
        <w:rPr>
          <w:rFonts w:hAnsi="Tahoma" w:cs="Tahoma"/>
          <w:sz w:val="24"/>
          <w:szCs w:val="24"/>
        </w:rPr>
        <w:t>sama</w:t>
      </w:r>
      <w:proofErr w:type="gramEnd"/>
      <w:r>
        <w:rPr>
          <w:rFonts w:hAnsi="Tahoma" w:cs="Tahoma"/>
          <w:sz w:val="24"/>
          <w:szCs w:val="24"/>
        </w:rPr>
        <w:t xml:space="preserve"> dengan 95% di akhir tahun anggaran.  Perhitungan realisasi fisik program/kegiatan diukur dari pemenuhan bukti fisik atau dokumen pendukung berupa dokumen KAK, Rapat Perencanaan Awal, SK Tim, Pelaksanaan dan Laporan Kegiatan untuk kegiatan swakelola dan dokumen RUP, HPS, Proses Lelang/ Pejabat Pengadaan, Kontrak dan Pelaksanaan Kegiatan untuk kegiatan yang menggunakan pihak ketiga (penyedia). Adapun realisasi keuangan diukur dari pe</w:t>
      </w:r>
      <w:r>
        <w:rPr>
          <w:rFonts w:cs="Aparajita"/>
          <w:sz w:val="24"/>
          <w:szCs w:val="24"/>
        </w:rPr>
        <w:t>rbandingan realisasi dengan target keuangan yang ada pada Badan Kesbangpol Prov.Sumbar pada tahun 2018.</w:t>
      </w:r>
    </w:p>
    <w:p w:rsidR="007335FD" w:rsidRDefault="00815898">
      <w:pPr>
        <w:spacing w:line="360" w:lineRule="auto"/>
        <w:ind w:left="440" w:firstLineChars="275" w:firstLine="660"/>
        <w:jc w:val="both"/>
        <w:rPr>
          <w:rFonts w:cs="Arial"/>
          <w:sz w:val="24"/>
          <w:szCs w:val="24"/>
        </w:rPr>
      </w:pPr>
      <w:r>
        <w:rPr>
          <w:rFonts w:cs="Arial"/>
          <w:sz w:val="24"/>
          <w:szCs w:val="24"/>
        </w:rPr>
        <w:t xml:space="preserve">Pada tahun 2018, ditargetkan capaian realisasi fisik dan keuangan pelaksanaan program/kegiatan pada Badan Kesbangpol Prov. Sumbar sebesar 95% dan realisasinya menunjukkan realisasi fisik program/kegiatan sebesar 99,81 % dengan tingkat capaian kinerja sebesar 105,06% (kategori penilaian keberhasilan </w:t>
      </w:r>
      <w:r>
        <w:rPr>
          <w:rFonts w:cs="Arial"/>
          <w:b/>
          <w:sz w:val="24"/>
          <w:szCs w:val="24"/>
        </w:rPr>
        <w:t>sangat baik</w:t>
      </w:r>
      <w:r>
        <w:rPr>
          <w:rFonts w:cs="Arial"/>
          <w:sz w:val="24"/>
          <w:szCs w:val="24"/>
        </w:rPr>
        <w:t xml:space="preserve">), sedangkan realisasi keuangan ditargetkan sebesar 95% dan realisasinya menunjukkan realisasi keuangan </w:t>
      </w:r>
      <w:r>
        <w:rPr>
          <w:rFonts w:cs="Arial"/>
          <w:sz w:val="24"/>
          <w:szCs w:val="24"/>
        </w:rPr>
        <w:lastRenderedPageBreak/>
        <w:t xml:space="preserve">program/kegiatan sebesar 96,19% dengan tingkat capaian sebesar 101,25% (kategori penilaian keberhasilan </w:t>
      </w:r>
      <w:r>
        <w:rPr>
          <w:rFonts w:cs="Arial"/>
          <w:b/>
          <w:sz w:val="24"/>
          <w:szCs w:val="24"/>
        </w:rPr>
        <w:t>sangat baik)</w:t>
      </w:r>
      <w:r>
        <w:rPr>
          <w:rFonts w:cs="Arial"/>
          <w:sz w:val="24"/>
          <w:szCs w:val="24"/>
        </w:rPr>
        <w:t>.</w:t>
      </w:r>
    </w:p>
    <w:p w:rsidR="007335FD" w:rsidRDefault="00815898">
      <w:pPr>
        <w:spacing w:line="360" w:lineRule="auto"/>
        <w:ind w:left="440" w:firstLineChars="275" w:firstLine="660"/>
        <w:jc w:val="both"/>
        <w:rPr>
          <w:rFonts w:cs="Cambria"/>
          <w:sz w:val="24"/>
          <w:szCs w:val="24"/>
        </w:rPr>
      </w:pPr>
      <w:r>
        <w:rPr>
          <w:rFonts w:cs="Cambria"/>
          <w:sz w:val="24"/>
          <w:szCs w:val="24"/>
        </w:rPr>
        <w:t xml:space="preserve">Jika dibandingkan dengan tahun-tahun sebelumnya, terjadi kenaikan persentase capaian realisasi fisik dan keuangan pelaksanaan program/kegiatan Badan Kesbangpol dari tahun- tahun sebelumnya dengan rincian sebagai </w:t>
      </w:r>
      <w:proofErr w:type="gramStart"/>
      <w:r>
        <w:rPr>
          <w:rFonts w:cs="Cambria"/>
          <w:sz w:val="24"/>
          <w:szCs w:val="24"/>
        </w:rPr>
        <w:t>berikut :</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3.10</w:t>
      </w:r>
    </w:p>
    <w:p w:rsidR="007335FD" w:rsidRDefault="00815898">
      <w:pPr>
        <w:pStyle w:val="NoSpacing"/>
        <w:jc w:val="center"/>
        <w:rPr>
          <w:rFonts w:hAnsi="Berlin Sans FB Demi"/>
          <w:b/>
          <w:bCs/>
          <w:sz w:val="24"/>
          <w:szCs w:val="24"/>
        </w:rPr>
      </w:pPr>
      <w:r>
        <w:rPr>
          <w:rFonts w:hAnsi="Berlin Sans FB Demi"/>
          <w:b/>
          <w:bCs/>
          <w:sz w:val="24"/>
          <w:szCs w:val="24"/>
        </w:rPr>
        <w:t xml:space="preserve">Perbandingan Capaian Realisasi Fisik/Keuangan </w:t>
      </w:r>
      <w:proofErr w:type="gramStart"/>
      <w:r>
        <w:rPr>
          <w:rFonts w:hAnsi="Berlin Sans FB Demi"/>
          <w:b/>
          <w:bCs/>
          <w:sz w:val="24"/>
          <w:szCs w:val="24"/>
        </w:rPr>
        <w:t>Per</w:t>
      </w:r>
      <w:proofErr w:type="gramEnd"/>
      <w:r>
        <w:rPr>
          <w:rFonts w:hAnsi="Berlin Sans FB Demi"/>
          <w:b/>
          <w:bCs/>
          <w:sz w:val="24"/>
          <w:szCs w:val="24"/>
        </w:rPr>
        <w:t xml:space="preserve"> Belanja </w:t>
      </w:r>
    </w:p>
    <w:p w:rsidR="007335FD" w:rsidRDefault="00815898">
      <w:pPr>
        <w:pStyle w:val="NoSpacing"/>
        <w:jc w:val="center"/>
        <w:rPr>
          <w:rFonts w:hAnsi="Berlin Sans FB Demi"/>
          <w:b/>
          <w:bCs/>
          <w:sz w:val="24"/>
          <w:szCs w:val="24"/>
        </w:rPr>
      </w:pPr>
      <w:r>
        <w:rPr>
          <w:rFonts w:hAnsi="Berlin Sans FB Demi"/>
          <w:b/>
          <w:bCs/>
          <w:sz w:val="24"/>
          <w:szCs w:val="24"/>
        </w:rPr>
        <w:t>Badan Kesbangpol Prov Sumbar</w:t>
      </w:r>
    </w:p>
    <w:p w:rsidR="007335FD" w:rsidRDefault="00815898">
      <w:pPr>
        <w:pStyle w:val="NoSpacing"/>
        <w:jc w:val="center"/>
        <w:rPr>
          <w:rFonts w:hAnsi="Berlin Sans FB Demi"/>
          <w:b/>
          <w:bCs/>
          <w:sz w:val="24"/>
          <w:szCs w:val="24"/>
        </w:rPr>
      </w:pPr>
      <w:r>
        <w:rPr>
          <w:rFonts w:hAnsi="Berlin Sans FB Demi"/>
          <w:b/>
          <w:bCs/>
          <w:sz w:val="24"/>
          <w:szCs w:val="24"/>
        </w:rPr>
        <w:t>Tahun 2016-2018</w:t>
      </w:r>
    </w:p>
    <w:tbl>
      <w:tblPr>
        <w:tblStyle w:val="TableGrid"/>
        <w:tblpPr w:leftFromText="180" w:rightFromText="180" w:vertAnchor="text" w:horzAnchor="page" w:tblpX="2152" w:tblpY="359"/>
        <w:tblOverlap w:val="never"/>
        <w:tblW w:w="8328" w:type="dxa"/>
        <w:tblLayout w:type="fixed"/>
        <w:tblLook w:val="04A0" w:firstRow="1" w:lastRow="0" w:firstColumn="1" w:lastColumn="0" w:noHBand="0" w:noVBand="1"/>
      </w:tblPr>
      <w:tblGrid>
        <w:gridCol w:w="524"/>
        <w:gridCol w:w="2515"/>
        <w:gridCol w:w="889"/>
        <w:gridCol w:w="922"/>
        <w:gridCol w:w="800"/>
        <w:gridCol w:w="878"/>
        <w:gridCol w:w="800"/>
        <w:gridCol w:w="1000"/>
      </w:tblGrid>
      <w:tr w:rsidR="007335FD">
        <w:tc>
          <w:tcPr>
            <w:tcW w:w="524" w:type="dxa"/>
            <w:vMerge w:val="restart"/>
            <w:shd w:val="clear" w:color="auto" w:fill="C00000"/>
            <w:vAlign w:val="center"/>
          </w:tcPr>
          <w:p w:rsidR="007335FD" w:rsidRDefault="00815898">
            <w:pPr>
              <w:pStyle w:val="NoSpacing"/>
              <w:spacing w:line="360" w:lineRule="auto"/>
              <w:jc w:val="center"/>
              <w:rPr>
                <w:rFonts w:cs="Aparajita"/>
                <w:b/>
                <w:sz w:val="24"/>
                <w:szCs w:val="24"/>
              </w:rPr>
            </w:pPr>
            <w:r>
              <w:rPr>
                <w:rFonts w:cs="Aparajita"/>
                <w:b/>
                <w:sz w:val="24"/>
                <w:szCs w:val="24"/>
              </w:rPr>
              <w:t>No</w:t>
            </w:r>
          </w:p>
        </w:tc>
        <w:tc>
          <w:tcPr>
            <w:tcW w:w="2515" w:type="dxa"/>
            <w:vMerge w:val="restart"/>
            <w:shd w:val="clear" w:color="auto" w:fill="C00000"/>
            <w:vAlign w:val="center"/>
          </w:tcPr>
          <w:p w:rsidR="007335FD" w:rsidRDefault="00815898">
            <w:pPr>
              <w:pStyle w:val="NoSpacing"/>
              <w:spacing w:line="360" w:lineRule="auto"/>
              <w:jc w:val="center"/>
              <w:rPr>
                <w:rFonts w:cs="Aparajita"/>
                <w:b/>
                <w:sz w:val="24"/>
                <w:szCs w:val="24"/>
              </w:rPr>
            </w:pPr>
            <w:r>
              <w:rPr>
                <w:rFonts w:cs="Aparajita"/>
                <w:b/>
                <w:sz w:val="24"/>
                <w:szCs w:val="24"/>
              </w:rPr>
              <w:t>Rincian</w:t>
            </w:r>
          </w:p>
        </w:tc>
        <w:tc>
          <w:tcPr>
            <w:tcW w:w="5289" w:type="dxa"/>
            <w:gridSpan w:val="6"/>
            <w:shd w:val="clear" w:color="auto" w:fill="C00000"/>
            <w:vAlign w:val="center"/>
          </w:tcPr>
          <w:p w:rsidR="007335FD" w:rsidRDefault="00815898">
            <w:pPr>
              <w:pStyle w:val="NoSpacing"/>
              <w:spacing w:line="360" w:lineRule="auto"/>
              <w:jc w:val="center"/>
              <w:rPr>
                <w:rFonts w:cs="Aparajita"/>
                <w:b/>
                <w:sz w:val="24"/>
                <w:szCs w:val="24"/>
              </w:rPr>
            </w:pPr>
            <w:r>
              <w:rPr>
                <w:rFonts w:cs="Aparajita"/>
                <w:b/>
                <w:sz w:val="24"/>
                <w:szCs w:val="24"/>
              </w:rPr>
              <w:t>Realisasi (%)</w:t>
            </w:r>
          </w:p>
        </w:tc>
      </w:tr>
      <w:tr w:rsidR="007335FD">
        <w:tc>
          <w:tcPr>
            <w:tcW w:w="524" w:type="dxa"/>
            <w:vMerge/>
            <w:shd w:val="clear" w:color="auto" w:fill="C00000"/>
            <w:vAlign w:val="center"/>
          </w:tcPr>
          <w:p w:rsidR="007335FD" w:rsidRDefault="007335FD">
            <w:pPr>
              <w:pStyle w:val="NoSpacing"/>
              <w:spacing w:line="360" w:lineRule="auto"/>
              <w:jc w:val="center"/>
              <w:rPr>
                <w:rFonts w:cs="Aparajita"/>
                <w:b/>
                <w:sz w:val="24"/>
                <w:szCs w:val="24"/>
              </w:rPr>
            </w:pPr>
          </w:p>
        </w:tc>
        <w:tc>
          <w:tcPr>
            <w:tcW w:w="2515" w:type="dxa"/>
            <w:vMerge/>
            <w:shd w:val="clear" w:color="auto" w:fill="C00000"/>
            <w:vAlign w:val="center"/>
          </w:tcPr>
          <w:p w:rsidR="007335FD" w:rsidRDefault="007335FD">
            <w:pPr>
              <w:pStyle w:val="NoSpacing"/>
              <w:spacing w:line="360" w:lineRule="auto"/>
              <w:jc w:val="center"/>
              <w:rPr>
                <w:rFonts w:cs="Aparajita"/>
                <w:b/>
                <w:sz w:val="24"/>
                <w:szCs w:val="24"/>
              </w:rPr>
            </w:pPr>
          </w:p>
        </w:tc>
        <w:tc>
          <w:tcPr>
            <w:tcW w:w="1811" w:type="dxa"/>
            <w:gridSpan w:val="2"/>
            <w:shd w:val="clear" w:color="auto" w:fill="C00000"/>
            <w:vAlign w:val="center"/>
          </w:tcPr>
          <w:p w:rsidR="007335FD" w:rsidRDefault="00815898">
            <w:pPr>
              <w:pStyle w:val="NoSpacing"/>
              <w:spacing w:line="360" w:lineRule="auto"/>
              <w:jc w:val="center"/>
              <w:rPr>
                <w:rFonts w:cs="Aparajita"/>
                <w:b/>
                <w:sz w:val="24"/>
                <w:szCs w:val="24"/>
              </w:rPr>
            </w:pPr>
            <w:r>
              <w:rPr>
                <w:rFonts w:cs="Aparajita"/>
                <w:b/>
                <w:sz w:val="24"/>
                <w:szCs w:val="24"/>
              </w:rPr>
              <w:t>Tahun 2016</w:t>
            </w:r>
          </w:p>
        </w:tc>
        <w:tc>
          <w:tcPr>
            <w:tcW w:w="1678" w:type="dxa"/>
            <w:gridSpan w:val="2"/>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Tahun 2017</w:t>
            </w:r>
          </w:p>
        </w:tc>
        <w:tc>
          <w:tcPr>
            <w:tcW w:w="1800" w:type="dxa"/>
            <w:gridSpan w:val="2"/>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Tahun 2018</w:t>
            </w:r>
          </w:p>
        </w:tc>
      </w:tr>
      <w:tr w:rsidR="007335FD">
        <w:tc>
          <w:tcPr>
            <w:tcW w:w="524" w:type="dxa"/>
            <w:vMerge/>
            <w:shd w:val="clear" w:color="auto" w:fill="C00000"/>
          </w:tcPr>
          <w:p w:rsidR="007335FD" w:rsidRDefault="007335FD">
            <w:pPr>
              <w:pStyle w:val="NoSpacing"/>
              <w:spacing w:line="360" w:lineRule="auto"/>
              <w:rPr>
                <w:rFonts w:cs="Aparajita"/>
                <w:sz w:val="24"/>
                <w:szCs w:val="24"/>
              </w:rPr>
            </w:pPr>
          </w:p>
        </w:tc>
        <w:tc>
          <w:tcPr>
            <w:tcW w:w="2515" w:type="dxa"/>
            <w:vMerge/>
            <w:shd w:val="clear" w:color="auto" w:fill="C00000"/>
          </w:tcPr>
          <w:p w:rsidR="007335FD" w:rsidRDefault="007335FD">
            <w:pPr>
              <w:pStyle w:val="NoSpacing"/>
              <w:spacing w:line="360" w:lineRule="auto"/>
              <w:rPr>
                <w:rFonts w:cs="Aparajita"/>
                <w:sz w:val="24"/>
                <w:szCs w:val="24"/>
              </w:rPr>
            </w:pPr>
          </w:p>
        </w:tc>
        <w:tc>
          <w:tcPr>
            <w:tcW w:w="889" w:type="dxa"/>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Fisik</w:t>
            </w:r>
          </w:p>
        </w:tc>
        <w:tc>
          <w:tcPr>
            <w:tcW w:w="922" w:type="dxa"/>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Keu</w:t>
            </w:r>
          </w:p>
        </w:tc>
        <w:tc>
          <w:tcPr>
            <w:tcW w:w="800" w:type="dxa"/>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Fisik</w:t>
            </w:r>
          </w:p>
        </w:tc>
        <w:tc>
          <w:tcPr>
            <w:tcW w:w="878" w:type="dxa"/>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Keu</w:t>
            </w:r>
          </w:p>
        </w:tc>
        <w:tc>
          <w:tcPr>
            <w:tcW w:w="800" w:type="dxa"/>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Fisik</w:t>
            </w:r>
          </w:p>
        </w:tc>
        <w:tc>
          <w:tcPr>
            <w:tcW w:w="1000" w:type="dxa"/>
            <w:shd w:val="clear" w:color="auto" w:fill="C00000"/>
          </w:tcPr>
          <w:p w:rsidR="007335FD" w:rsidRDefault="00815898">
            <w:pPr>
              <w:pStyle w:val="NoSpacing"/>
              <w:spacing w:line="360" w:lineRule="auto"/>
              <w:jc w:val="center"/>
              <w:rPr>
                <w:rFonts w:cs="Aparajita"/>
                <w:b/>
                <w:sz w:val="24"/>
                <w:szCs w:val="24"/>
              </w:rPr>
            </w:pPr>
            <w:r>
              <w:rPr>
                <w:rFonts w:cs="Aparajita"/>
                <w:b/>
                <w:sz w:val="24"/>
                <w:szCs w:val="24"/>
              </w:rPr>
              <w:t>Keu</w:t>
            </w:r>
          </w:p>
        </w:tc>
      </w:tr>
      <w:tr w:rsidR="007335FD">
        <w:tc>
          <w:tcPr>
            <w:tcW w:w="524" w:type="dxa"/>
          </w:tcPr>
          <w:p w:rsidR="007335FD" w:rsidRDefault="00815898">
            <w:pPr>
              <w:pStyle w:val="NoSpacing"/>
              <w:rPr>
                <w:sz w:val="24"/>
                <w:szCs w:val="24"/>
              </w:rPr>
            </w:pPr>
            <w:r>
              <w:rPr>
                <w:sz w:val="24"/>
                <w:szCs w:val="24"/>
              </w:rPr>
              <w:t>1</w:t>
            </w:r>
          </w:p>
        </w:tc>
        <w:tc>
          <w:tcPr>
            <w:tcW w:w="2515" w:type="dxa"/>
          </w:tcPr>
          <w:p w:rsidR="007335FD" w:rsidRDefault="00815898">
            <w:pPr>
              <w:pStyle w:val="NoSpacing"/>
              <w:rPr>
                <w:sz w:val="24"/>
                <w:szCs w:val="24"/>
              </w:rPr>
            </w:pPr>
            <w:r>
              <w:rPr>
                <w:sz w:val="24"/>
                <w:szCs w:val="24"/>
              </w:rPr>
              <w:t>Belanja Langsung</w:t>
            </w:r>
          </w:p>
        </w:tc>
        <w:tc>
          <w:tcPr>
            <w:tcW w:w="889" w:type="dxa"/>
            <w:vAlign w:val="center"/>
          </w:tcPr>
          <w:p w:rsidR="007335FD" w:rsidRDefault="00815898">
            <w:pPr>
              <w:pStyle w:val="NoSpacing"/>
              <w:jc w:val="center"/>
              <w:rPr>
                <w:sz w:val="24"/>
                <w:szCs w:val="24"/>
              </w:rPr>
            </w:pPr>
            <w:r>
              <w:rPr>
                <w:sz w:val="24"/>
                <w:szCs w:val="24"/>
              </w:rPr>
              <w:t>96,61</w:t>
            </w:r>
          </w:p>
        </w:tc>
        <w:tc>
          <w:tcPr>
            <w:tcW w:w="922" w:type="dxa"/>
            <w:vAlign w:val="center"/>
          </w:tcPr>
          <w:p w:rsidR="007335FD" w:rsidRDefault="00815898">
            <w:pPr>
              <w:pStyle w:val="NoSpacing"/>
              <w:jc w:val="center"/>
              <w:rPr>
                <w:sz w:val="24"/>
                <w:szCs w:val="24"/>
              </w:rPr>
            </w:pPr>
            <w:r>
              <w:rPr>
                <w:sz w:val="24"/>
                <w:szCs w:val="24"/>
              </w:rPr>
              <w:t>92,17</w:t>
            </w:r>
          </w:p>
        </w:tc>
        <w:tc>
          <w:tcPr>
            <w:tcW w:w="800" w:type="dxa"/>
            <w:vAlign w:val="center"/>
          </w:tcPr>
          <w:p w:rsidR="007335FD" w:rsidRDefault="00815898">
            <w:pPr>
              <w:pStyle w:val="NoSpacing"/>
              <w:jc w:val="center"/>
              <w:rPr>
                <w:sz w:val="24"/>
                <w:szCs w:val="24"/>
              </w:rPr>
            </w:pPr>
            <w:r>
              <w:rPr>
                <w:sz w:val="24"/>
                <w:szCs w:val="24"/>
              </w:rPr>
              <w:t>99,80</w:t>
            </w:r>
          </w:p>
        </w:tc>
        <w:tc>
          <w:tcPr>
            <w:tcW w:w="878" w:type="dxa"/>
            <w:vAlign w:val="center"/>
          </w:tcPr>
          <w:p w:rsidR="007335FD" w:rsidRDefault="00815898">
            <w:pPr>
              <w:pStyle w:val="NoSpacing"/>
              <w:jc w:val="center"/>
              <w:rPr>
                <w:sz w:val="24"/>
                <w:szCs w:val="24"/>
              </w:rPr>
            </w:pPr>
            <w:r>
              <w:rPr>
                <w:sz w:val="24"/>
                <w:szCs w:val="24"/>
              </w:rPr>
              <w:t>91,56</w:t>
            </w:r>
          </w:p>
        </w:tc>
        <w:tc>
          <w:tcPr>
            <w:tcW w:w="800" w:type="dxa"/>
            <w:vAlign w:val="center"/>
          </w:tcPr>
          <w:p w:rsidR="007335FD" w:rsidRDefault="00815898">
            <w:pPr>
              <w:pStyle w:val="NoSpacing"/>
              <w:jc w:val="center"/>
              <w:rPr>
                <w:sz w:val="24"/>
                <w:szCs w:val="24"/>
              </w:rPr>
            </w:pPr>
            <w:r>
              <w:rPr>
                <w:sz w:val="24"/>
                <w:szCs w:val="24"/>
              </w:rPr>
              <w:t>99,81</w:t>
            </w:r>
          </w:p>
        </w:tc>
        <w:tc>
          <w:tcPr>
            <w:tcW w:w="1000" w:type="dxa"/>
            <w:vAlign w:val="center"/>
          </w:tcPr>
          <w:p w:rsidR="007335FD" w:rsidRDefault="00815898">
            <w:pPr>
              <w:pStyle w:val="NoSpacing"/>
              <w:jc w:val="center"/>
              <w:rPr>
                <w:sz w:val="24"/>
                <w:szCs w:val="24"/>
              </w:rPr>
            </w:pPr>
            <w:r>
              <w:rPr>
                <w:sz w:val="24"/>
                <w:szCs w:val="24"/>
              </w:rPr>
              <w:t>96,19</w:t>
            </w:r>
          </w:p>
        </w:tc>
      </w:tr>
      <w:tr w:rsidR="007335FD">
        <w:tc>
          <w:tcPr>
            <w:tcW w:w="524" w:type="dxa"/>
          </w:tcPr>
          <w:p w:rsidR="007335FD" w:rsidRDefault="00815898">
            <w:pPr>
              <w:pStyle w:val="NoSpacing"/>
              <w:rPr>
                <w:sz w:val="24"/>
                <w:szCs w:val="24"/>
              </w:rPr>
            </w:pPr>
            <w:r>
              <w:rPr>
                <w:sz w:val="24"/>
                <w:szCs w:val="24"/>
              </w:rPr>
              <w:t>2</w:t>
            </w:r>
          </w:p>
        </w:tc>
        <w:tc>
          <w:tcPr>
            <w:tcW w:w="2515" w:type="dxa"/>
          </w:tcPr>
          <w:p w:rsidR="007335FD" w:rsidRDefault="00815898">
            <w:pPr>
              <w:pStyle w:val="NoSpacing"/>
              <w:rPr>
                <w:sz w:val="24"/>
                <w:szCs w:val="24"/>
              </w:rPr>
            </w:pPr>
            <w:r>
              <w:rPr>
                <w:sz w:val="24"/>
                <w:szCs w:val="24"/>
              </w:rPr>
              <w:t>Belanja Tidak Langsung</w:t>
            </w:r>
          </w:p>
        </w:tc>
        <w:tc>
          <w:tcPr>
            <w:tcW w:w="889" w:type="dxa"/>
            <w:vAlign w:val="center"/>
          </w:tcPr>
          <w:p w:rsidR="007335FD" w:rsidRDefault="00815898">
            <w:pPr>
              <w:pStyle w:val="NoSpacing"/>
              <w:jc w:val="center"/>
              <w:rPr>
                <w:sz w:val="24"/>
                <w:szCs w:val="24"/>
              </w:rPr>
            </w:pPr>
            <w:r>
              <w:rPr>
                <w:sz w:val="24"/>
                <w:szCs w:val="24"/>
              </w:rPr>
              <w:t>100</w:t>
            </w:r>
          </w:p>
        </w:tc>
        <w:tc>
          <w:tcPr>
            <w:tcW w:w="922" w:type="dxa"/>
            <w:vAlign w:val="center"/>
          </w:tcPr>
          <w:p w:rsidR="007335FD" w:rsidRDefault="00815898">
            <w:pPr>
              <w:pStyle w:val="NoSpacing"/>
              <w:jc w:val="center"/>
              <w:rPr>
                <w:sz w:val="24"/>
                <w:szCs w:val="24"/>
              </w:rPr>
            </w:pPr>
            <w:r>
              <w:rPr>
                <w:sz w:val="24"/>
                <w:szCs w:val="24"/>
              </w:rPr>
              <w:t>93,84</w:t>
            </w:r>
          </w:p>
        </w:tc>
        <w:tc>
          <w:tcPr>
            <w:tcW w:w="800" w:type="dxa"/>
            <w:vAlign w:val="center"/>
          </w:tcPr>
          <w:p w:rsidR="007335FD" w:rsidRDefault="00815898">
            <w:pPr>
              <w:pStyle w:val="NoSpacing"/>
              <w:jc w:val="center"/>
              <w:rPr>
                <w:sz w:val="24"/>
                <w:szCs w:val="24"/>
              </w:rPr>
            </w:pPr>
            <w:r>
              <w:rPr>
                <w:sz w:val="24"/>
                <w:szCs w:val="24"/>
              </w:rPr>
              <w:t>100</w:t>
            </w:r>
          </w:p>
        </w:tc>
        <w:tc>
          <w:tcPr>
            <w:tcW w:w="878" w:type="dxa"/>
            <w:vAlign w:val="center"/>
          </w:tcPr>
          <w:p w:rsidR="007335FD" w:rsidRDefault="00815898">
            <w:pPr>
              <w:pStyle w:val="NoSpacing"/>
              <w:jc w:val="center"/>
              <w:rPr>
                <w:sz w:val="24"/>
                <w:szCs w:val="24"/>
              </w:rPr>
            </w:pPr>
            <w:r>
              <w:rPr>
                <w:sz w:val="24"/>
                <w:szCs w:val="24"/>
              </w:rPr>
              <w:t>87,84</w:t>
            </w:r>
          </w:p>
        </w:tc>
        <w:tc>
          <w:tcPr>
            <w:tcW w:w="800" w:type="dxa"/>
            <w:vAlign w:val="center"/>
          </w:tcPr>
          <w:p w:rsidR="007335FD" w:rsidRDefault="00815898">
            <w:pPr>
              <w:pStyle w:val="NoSpacing"/>
              <w:jc w:val="center"/>
              <w:rPr>
                <w:sz w:val="24"/>
                <w:szCs w:val="24"/>
              </w:rPr>
            </w:pPr>
            <w:r>
              <w:rPr>
                <w:sz w:val="24"/>
                <w:szCs w:val="24"/>
              </w:rPr>
              <w:t>100</w:t>
            </w:r>
          </w:p>
        </w:tc>
        <w:tc>
          <w:tcPr>
            <w:tcW w:w="1000" w:type="dxa"/>
            <w:vAlign w:val="center"/>
          </w:tcPr>
          <w:p w:rsidR="007335FD" w:rsidRDefault="00815898">
            <w:pPr>
              <w:pStyle w:val="NoSpacing"/>
              <w:jc w:val="center"/>
              <w:rPr>
                <w:sz w:val="24"/>
                <w:szCs w:val="24"/>
              </w:rPr>
            </w:pPr>
            <w:r>
              <w:rPr>
                <w:sz w:val="24"/>
                <w:szCs w:val="24"/>
              </w:rPr>
              <w:t>90,17</w:t>
            </w:r>
          </w:p>
        </w:tc>
      </w:tr>
    </w:tbl>
    <w:p w:rsidR="007335FD" w:rsidRDefault="007335FD">
      <w:pPr>
        <w:autoSpaceDE w:val="0"/>
        <w:autoSpaceDN w:val="0"/>
        <w:adjustRightInd w:val="0"/>
        <w:spacing w:after="0" w:line="360" w:lineRule="auto"/>
        <w:ind w:firstLine="720"/>
        <w:jc w:val="both"/>
        <w:rPr>
          <w:rFonts w:cs="Cambria"/>
          <w:sz w:val="24"/>
          <w:szCs w:val="24"/>
        </w:rPr>
      </w:pPr>
    </w:p>
    <w:p w:rsidR="007335FD" w:rsidRDefault="007335FD">
      <w:pPr>
        <w:autoSpaceDE w:val="0"/>
        <w:autoSpaceDN w:val="0"/>
        <w:adjustRightInd w:val="0"/>
        <w:spacing w:after="0" w:line="360" w:lineRule="auto"/>
        <w:ind w:firstLine="720"/>
        <w:jc w:val="both"/>
        <w:rPr>
          <w:rFonts w:cs="Cambria"/>
          <w:sz w:val="24"/>
          <w:szCs w:val="24"/>
        </w:rPr>
      </w:pPr>
    </w:p>
    <w:p w:rsidR="007335FD" w:rsidRDefault="007335FD">
      <w:pPr>
        <w:autoSpaceDE w:val="0"/>
        <w:autoSpaceDN w:val="0"/>
        <w:adjustRightInd w:val="0"/>
        <w:spacing w:after="0" w:line="360" w:lineRule="auto"/>
        <w:ind w:firstLine="720"/>
        <w:jc w:val="both"/>
        <w:rPr>
          <w:rFonts w:cs="Cambria"/>
          <w:sz w:val="24"/>
          <w:szCs w:val="24"/>
        </w:rPr>
      </w:pPr>
    </w:p>
    <w:p w:rsidR="007335FD" w:rsidRDefault="007335FD">
      <w:pPr>
        <w:autoSpaceDE w:val="0"/>
        <w:autoSpaceDN w:val="0"/>
        <w:adjustRightInd w:val="0"/>
        <w:spacing w:after="0" w:line="360" w:lineRule="auto"/>
        <w:ind w:firstLine="720"/>
        <w:jc w:val="both"/>
        <w:rPr>
          <w:rFonts w:cs="Cambria"/>
          <w:sz w:val="24"/>
          <w:szCs w:val="24"/>
        </w:rPr>
      </w:pPr>
    </w:p>
    <w:p w:rsidR="007335FD" w:rsidRDefault="007335FD">
      <w:pPr>
        <w:autoSpaceDE w:val="0"/>
        <w:autoSpaceDN w:val="0"/>
        <w:adjustRightInd w:val="0"/>
        <w:spacing w:after="0" w:line="360" w:lineRule="auto"/>
        <w:ind w:firstLine="720"/>
        <w:jc w:val="both"/>
        <w:rPr>
          <w:rFonts w:cs="Cambria"/>
          <w:sz w:val="24"/>
          <w:szCs w:val="24"/>
        </w:rPr>
      </w:pPr>
    </w:p>
    <w:p w:rsidR="007335FD" w:rsidRDefault="007335FD">
      <w:pPr>
        <w:pStyle w:val="NoSpacing"/>
        <w:ind w:leftChars="300" w:left="660"/>
      </w:pPr>
    </w:p>
    <w:p w:rsidR="007335FD" w:rsidRDefault="00815898">
      <w:pPr>
        <w:pStyle w:val="NoSpacing"/>
        <w:ind w:leftChars="300" w:left="660"/>
        <w:rPr>
          <w:rFonts w:cs="Cambria"/>
          <w:i/>
          <w:iCs/>
          <w:sz w:val="22"/>
          <w:szCs w:val="22"/>
        </w:rPr>
      </w:pPr>
      <w:proofErr w:type="gramStart"/>
      <w:r>
        <w:rPr>
          <w:i/>
          <w:iCs/>
          <w:sz w:val="22"/>
          <w:szCs w:val="22"/>
        </w:rPr>
        <w:t>Sumbe</w:t>
      </w:r>
      <w:r>
        <w:rPr>
          <w:rFonts w:cs="Cambria"/>
          <w:i/>
          <w:iCs/>
          <w:sz w:val="22"/>
          <w:szCs w:val="22"/>
        </w:rPr>
        <w:t>r :</w:t>
      </w:r>
      <w:proofErr w:type="gramEnd"/>
      <w:r>
        <w:rPr>
          <w:rFonts w:cs="Cambria"/>
          <w:i/>
          <w:iCs/>
          <w:sz w:val="22"/>
          <w:szCs w:val="22"/>
        </w:rPr>
        <w:t xml:space="preserve"> Sub Bagian Keuangan Badan Kesbangpol Prov.Sumbar</w:t>
      </w:r>
    </w:p>
    <w:p w:rsidR="007335FD" w:rsidRDefault="007335FD">
      <w:pPr>
        <w:pStyle w:val="NoSpacing"/>
        <w:ind w:leftChars="300" w:left="660"/>
        <w:rPr>
          <w:rFonts w:cs="Cambria"/>
          <w:i/>
          <w:iCs/>
          <w:sz w:val="22"/>
          <w:szCs w:val="22"/>
        </w:rPr>
      </w:pPr>
    </w:p>
    <w:p w:rsidR="007335FD" w:rsidRDefault="00815898">
      <w:pPr>
        <w:pStyle w:val="NoSpacing"/>
        <w:jc w:val="center"/>
        <w:rPr>
          <w:rFonts w:hAnsi="Berlin Sans FB Demi"/>
          <w:b/>
          <w:bCs/>
          <w:sz w:val="24"/>
          <w:szCs w:val="24"/>
        </w:rPr>
      </w:pPr>
      <w:r>
        <w:rPr>
          <w:rFonts w:hAnsi="Berlin Sans FB Demi"/>
          <w:b/>
          <w:bCs/>
          <w:sz w:val="24"/>
          <w:szCs w:val="24"/>
        </w:rPr>
        <w:t>Grafik 3.3</w:t>
      </w:r>
    </w:p>
    <w:p w:rsidR="007335FD" w:rsidRDefault="00815898">
      <w:pPr>
        <w:pStyle w:val="NoSpacing"/>
        <w:jc w:val="center"/>
        <w:rPr>
          <w:rFonts w:hAnsi="Berlin Sans FB Demi"/>
          <w:b/>
          <w:bCs/>
          <w:sz w:val="24"/>
          <w:szCs w:val="24"/>
        </w:rPr>
      </w:pPr>
      <w:r>
        <w:rPr>
          <w:rFonts w:hAnsi="Berlin Sans FB Demi"/>
          <w:b/>
          <w:bCs/>
          <w:sz w:val="24"/>
          <w:szCs w:val="24"/>
        </w:rPr>
        <w:t>Realisasi Fisik dan Keuangan Pelaksanaan Program/Kegiatan Badan Kesbangpol</w:t>
      </w:r>
    </w:p>
    <w:p w:rsidR="007335FD" w:rsidRDefault="00815898">
      <w:pPr>
        <w:pStyle w:val="NoSpacing"/>
        <w:jc w:val="center"/>
        <w:rPr>
          <w:rFonts w:hAnsi="Berlin Sans FB Demi"/>
          <w:b/>
          <w:bCs/>
          <w:sz w:val="24"/>
          <w:szCs w:val="24"/>
        </w:rPr>
      </w:pPr>
      <w:r>
        <w:rPr>
          <w:rFonts w:hAnsi="Berlin Sans FB Demi"/>
          <w:b/>
          <w:bCs/>
          <w:sz w:val="24"/>
          <w:szCs w:val="24"/>
        </w:rPr>
        <w:t>Tahun 2016-2018</w:t>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noProof/>
          <w:sz w:val="24"/>
          <w:szCs w:val="24"/>
        </w:rPr>
        <w:drawing>
          <wp:inline distT="0" distB="0" distL="114300" distR="114300">
            <wp:extent cx="4712970" cy="2950210"/>
            <wp:effectExtent l="12700" t="12700" r="2413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335FD" w:rsidRDefault="00815898">
      <w:pPr>
        <w:pStyle w:val="ListParagraph"/>
        <w:spacing w:line="360" w:lineRule="auto"/>
        <w:ind w:leftChars="202" w:left="444" w:firstLine="655"/>
        <w:jc w:val="both"/>
        <w:rPr>
          <w:rFonts w:cs="Cambria"/>
          <w:sz w:val="24"/>
          <w:szCs w:val="24"/>
        </w:rPr>
      </w:pPr>
      <w:r>
        <w:rPr>
          <w:rFonts w:cs="Cambria"/>
          <w:sz w:val="24"/>
          <w:szCs w:val="24"/>
        </w:rPr>
        <w:t xml:space="preserve">Dari tabel di atas, jika dibandingkan capaian fisik dan keuangan program/kegiatan pada tahun 2017 dengan tahun 2018, persentase capaian realisasi fisik program/kegiatan </w:t>
      </w:r>
      <w:r>
        <w:rPr>
          <w:rFonts w:cs="Cambria"/>
          <w:sz w:val="24"/>
          <w:szCs w:val="24"/>
        </w:rPr>
        <w:lastRenderedPageBreak/>
        <w:t>mengalami peningkatan dari tahun sebelumnya sebesar 0,01%. Sedangkan capaian keuangan pada tahun ini mengalami peningkatan sebesar 4</w:t>
      </w:r>
      <w:proofErr w:type="gramStart"/>
      <w:r>
        <w:rPr>
          <w:rFonts w:cs="Cambria"/>
          <w:sz w:val="24"/>
          <w:szCs w:val="24"/>
        </w:rPr>
        <w:t>,63</w:t>
      </w:r>
      <w:proofErr w:type="gramEnd"/>
      <w:r>
        <w:rPr>
          <w:rFonts w:cs="Cambria"/>
          <w:sz w:val="24"/>
          <w:szCs w:val="24"/>
        </w:rPr>
        <w:t>% dari tahun sebelumnya.</w:t>
      </w:r>
    </w:p>
    <w:p w:rsidR="007335FD" w:rsidRDefault="007335FD">
      <w:pPr>
        <w:pStyle w:val="ListParagraph"/>
        <w:spacing w:line="360" w:lineRule="auto"/>
        <w:ind w:leftChars="202" w:left="444" w:firstLine="655"/>
        <w:jc w:val="both"/>
        <w:rPr>
          <w:rFonts w:cs="Cambria"/>
          <w:sz w:val="24"/>
          <w:szCs w:val="24"/>
        </w:rPr>
      </w:pPr>
    </w:p>
    <w:p w:rsidR="007335FD" w:rsidRDefault="00815898">
      <w:pPr>
        <w:pStyle w:val="ListParagraph"/>
        <w:spacing w:line="360" w:lineRule="auto"/>
        <w:ind w:leftChars="202" w:left="444" w:firstLine="655"/>
        <w:jc w:val="both"/>
        <w:rPr>
          <w:rFonts w:hAnsi="Book Antiqua" w:cs="Tahoma"/>
          <w:lang w:val="id-ID"/>
        </w:rPr>
      </w:pPr>
      <w:proofErr w:type="gramStart"/>
      <w:r>
        <w:rPr>
          <w:rFonts w:cs="Cambria"/>
          <w:sz w:val="24"/>
          <w:szCs w:val="24"/>
        </w:rPr>
        <w:t>Dari capaian di atas dapat dijelaskan bahwa seluruh program/kegiatan terlaksana dengan baik sesuai target/ouput yang diharapkan.</w:t>
      </w:r>
      <w:proofErr w:type="gramEnd"/>
      <w:r>
        <w:rPr>
          <w:rFonts w:cs="Cambria"/>
          <w:sz w:val="24"/>
          <w:szCs w:val="24"/>
        </w:rPr>
        <w:t xml:space="preserve"> Untuk capaian keuangan, hanya 3,81% anggaran pada Badan Kesatuan Bangsa dan Politik Provinsi Sumatera Barat yang bersisa dan merupakan efisiensi anggaran dan kurang maksimalnya serapan 1 kegiatan yaitu kegiatan pengelolaan bantuan keuangan partai politik (parpol). </w:t>
      </w:r>
      <w:proofErr w:type="gramStart"/>
      <w:r>
        <w:rPr>
          <w:rFonts w:hAnsi="Book Antiqua" w:cs="Tahoma"/>
          <w:sz w:val="24"/>
          <w:szCs w:val="24"/>
        </w:rPr>
        <w:t>Pada kegiatan ini terdapat 24 kali rencana verifikasi berkas pengajuan bantuan keuangan oleh partai politik.</w:t>
      </w:r>
      <w:proofErr w:type="gramEnd"/>
      <w:r>
        <w:rPr>
          <w:rFonts w:hAnsi="Book Antiqua" w:cs="Tahoma"/>
          <w:sz w:val="24"/>
          <w:szCs w:val="24"/>
        </w:rPr>
        <w:t xml:space="preserve"> </w:t>
      </w:r>
      <w:proofErr w:type="gramStart"/>
      <w:r>
        <w:rPr>
          <w:rFonts w:hAnsi="Book Antiqua" w:cs="Tahoma"/>
          <w:sz w:val="24"/>
          <w:szCs w:val="24"/>
        </w:rPr>
        <w:t>Namun, verifikasi tersebut hanya terlaksana 16 kali.</w:t>
      </w:r>
      <w:proofErr w:type="gramEnd"/>
      <w:r>
        <w:rPr>
          <w:rFonts w:hAnsi="Book Antiqua" w:cs="Tahoma"/>
          <w:sz w:val="24"/>
          <w:szCs w:val="24"/>
        </w:rPr>
        <w:t xml:space="preserve"> Hal ini disebabkan oleh keterbatasan waktu di akhir tahun anggaran, sehingga verifikasi dilakukan secara bersamaan terhadap berkas bantuan keuangan partai politik </w:t>
      </w:r>
      <w:proofErr w:type="gramStart"/>
      <w:r>
        <w:rPr>
          <w:rFonts w:hAnsi="Book Antiqua" w:cs="Tahoma"/>
          <w:sz w:val="24"/>
          <w:szCs w:val="24"/>
        </w:rPr>
        <w:t>yang  telah</w:t>
      </w:r>
      <w:proofErr w:type="gramEnd"/>
      <w:r>
        <w:rPr>
          <w:rFonts w:hAnsi="Book Antiqua" w:cs="Tahoma"/>
          <w:sz w:val="24"/>
          <w:szCs w:val="24"/>
        </w:rPr>
        <w:t xml:space="preserve"> diajukan ke Badan Kesbangpol Prov. Su</w:t>
      </w:r>
      <w:r>
        <w:rPr>
          <w:rFonts w:hAnsi="Book Antiqua" w:cs="Tahoma"/>
        </w:rPr>
        <w:t>mbar.</w:t>
      </w:r>
    </w:p>
    <w:p w:rsidR="007335FD" w:rsidRDefault="00815898">
      <w:pPr>
        <w:autoSpaceDE w:val="0"/>
        <w:autoSpaceDN w:val="0"/>
        <w:adjustRightInd w:val="0"/>
        <w:spacing w:after="0" w:line="360" w:lineRule="auto"/>
        <w:ind w:leftChars="200" w:left="440" w:firstLine="660"/>
        <w:jc w:val="both"/>
        <w:rPr>
          <w:rFonts w:cs="Cambria"/>
          <w:sz w:val="24"/>
          <w:szCs w:val="24"/>
        </w:rPr>
      </w:pPr>
      <w:r>
        <w:rPr>
          <w:rFonts w:cs="Cambria"/>
          <w:sz w:val="24"/>
          <w:szCs w:val="24"/>
        </w:rPr>
        <w:t xml:space="preserve">Peningkatan capaian kinerja ini didukung oleh beberapa faktor </w:t>
      </w:r>
      <w:proofErr w:type="gramStart"/>
      <w:r>
        <w:rPr>
          <w:rFonts w:cs="Cambria"/>
          <w:sz w:val="24"/>
          <w:szCs w:val="24"/>
        </w:rPr>
        <w:t>diantaranya :</w:t>
      </w:r>
      <w:proofErr w:type="gramEnd"/>
    </w:p>
    <w:p w:rsidR="007335FD" w:rsidRDefault="00815898">
      <w:pPr>
        <w:pStyle w:val="ListParagraph"/>
        <w:numPr>
          <w:ilvl w:val="0"/>
          <w:numId w:val="30"/>
        </w:numPr>
        <w:autoSpaceDE w:val="0"/>
        <w:autoSpaceDN w:val="0"/>
        <w:adjustRightInd w:val="0"/>
        <w:spacing w:after="0" w:line="360" w:lineRule="auto"/>
        <w:ind w:left="866" w:hanging="426"/>
        <w:jc w:val="both"/>
        <w:rPr>
          <w:rFonts w:cs="Cambria"/>
          <w:sz w:val="24"/>
          <w:szCs w:val="24"/>
        </w:rPr>
      </w:pPr>
      <w:r>
        <w:rPr>
          <w:rFonts w:cs="Cambria"/>
          <w:sz w:val="24"/>
          <w:szCs w:val="24"/>
        </w:rPr>
        <w:t>Adanya pengawasan dan pembinaan atasan langsung terhadap jajaran pelaksana yang menjadi kewenangannya untuk mematuhi ketentuan dan peraturan yang berlaku dalam pengelolaan anggaran</w:t>
      </w:r>
    </w:p>
    <w:p w:rsidR="007335FD" w:rsidRDefault="00815898">
      <w:pPr>
        <w:pStyle w:val="ListParagraph"/>
        <w:numPr>
          <w:ilvl w:val="0"/>
          <w:numId w:val="30"/>
        </w:numPr>
        <w:autoSpaceDE w:val="0"/>
        <w:autoSpaceDN w:val="0"/>
        <w:adjustRightInd w:val="0"/>
        <w:spacing w:after="0" w:line="360" w:lineRule="auto"/>
        <w:ind w:left="866" w:hanging="426"/>
        <w:jc w:val="both"/>
        <w:rPr>
          <w:rFonts w:cs="Cambria"/>
          <w:sz w:val="24"/>
          <w:szCs w:val="24"/>
        </w:rPr>
      </w:pPr>
      <w:r>
        <w:rPr>
          <w:rFonts w:cs="Cambria"/>
          <w:sz w:val="24"/>
          <w:szCs w:val="24"/>
        </w:rPr>
        <w:t>Adanya evaluasi secara berkala dari pimpinan terkait capaian pelaksanaan program dan kegiatan baik dari serapan anggaran maupun dokumen pendukung pelaksanaan kegiatan.</w:t>
      </w:r>
    </w:p>
    <w:p w:rsidR="007335FD" w:rsidRDefault="00815898">
      <w:pPr>
        <w:pStyle w:val="ListParagraph"/>
        <w:numPr>
          <w:ilvl w:val="0"/>
          <w:numId w:val="30"/>
        </w:numPr>
        <w:autoSpaceDE w:val="0"/>
        <w:autoSpaceDN w:val="0"/>
        <w:adjustRightInd w:val="0"/>
        <w:spacing w:after="0" w:line="360" w:lineRule="auto"/>
        <w:ind w:left="866" w:hanging="426"/>
        <w:jc w:val="both"/>
        <w:rPr>
          <w:rFonts w:cs="Cambria"/>
          <w:sz w:val="24"/>
          <w:szCs w:val="24"/>
        </w:rPr>
      </w:pPr>
      <w:r>
        <w:rPr>
          <w:rFonts w:cs="Cambria"/>
          <w:sz w:val="24"/>
          <w:szCs w:val="24"/>
        </w:rPr>
        <w:t xml:space="preserve">Adanya rekonsiliasi data asset dan keuangan oleh Biro Pengadaaan dan Pengelolaan BMD dan Badan Keuangan Daerah setiap tahunnya sehingga data aset dan keuangan dapat dikelola secara tertib. </w:t>
      </w:r>
    </w:p>
    <w:p w:rsidR="007335FD" w:rsidRDefault="00815898">
      <w:pPr>
        <w:pStyle w:val="ListParagraph"/>
        <w:numPr>
          <w:ilvl w:val="0"/>
          <w:numId w:val="30"/>
        </w:numPr>
        <w:autoSpaceDE w:val="0"/>
        <w:autoSpaceDN w:val="0"/>
        <w:adjustRightInd w:val="0"/>
        <w:spacing w:after="0" w:line="360" w:lineRule="auto"/>
        <w:ind w:left="866" w:hanging="426"/>
        <w:jc w:val="both"/>
        <w:rPr>
          <w:rFonts w:cs="Cambria"/>
          <w:sz w:val="24"/>
          <w:szCs w:val="24"/>
        </w:rPr>
      </w:pPr>
      <w:r>
        <w:rPr>
          <w:rFonts w:cs="Cambria"/>
          <w:sz w:val="24"/>
          <w:szCs w:val="24"/>
        </w:rPr>
        <w:t>Optimalisasi petugas SIPKD dalam mengelola data penganggaran dan penatausahaan keuangan</w:t>
      </w:r>
      <w:r>
        <w:rPr>
          <w:rFonts w:ascii="Cambria" w:hAnsi="Cambria" w:cs="Cambria"/>
        </w:rPr>
        <w:t>.</w:t>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left="440" w:firstLine="720"/>
        <w:jc w:val="both"/>
        <w:rPr>
          <w:rFonts w:eastAsia="Batang" w:cs="Aparajita"/>
          <w:sz w:val="24"/>
          <w:szCs w:val="24"/>
        </w:rPr>
      </w:pPr>
      <w:r>
        <w:rPr>
          <w:rFonts w:cs="Aparajita"/>
          <w:sz w:val="24"/>
          <w:szCs w:val="24"/>
        </w:rPr>
        <w:t>Adapun tingkat</w:t>
      </w:r>
      <w:r>
        <w:rPr>
          <w:rFonts w:eastAsia="Batang" w:cs="Aparajita"/>
          <w:sz w:val="24"/>
          <w:szCs w:val="24"/>
        </w:rPr>
        <w:t xml:space="preserve"> capaian kinerja indikator kinerja persentase capaian realisasi fisik dan keuangan pelaksanaan program/kegiatan Badan Kesbangpol Prov Sumbar diperoleh dengan menggunakan rumus </w:t>
      </w:r>
      <w:proofErr w:type="gramStart"/>
      <w:r>
        <w:rPr>
          <w:rFonts w:eastAsia="Batang" w:cs="Aparajita"/>
          <w:sz w:val="24"/>
          <w:szCs w:val="24"/>
        </w:rPr>
        <w:t>berikut :</w:t>
      </w:r>
      <w:proofErr w:type="gramEnd"/>
    </w:p>
    <w:p w:rsidR="007335FD" w:rsidRDefault="007335FD">
      <w:pPr>
        <w:autoSpaceDE w:val="0"/>
        <w:autoSpaceDN w:val="0"/>
        <w:adjustRightInd w:val="0"/>
        <w:spacing w:after="0" w:line="360" w:lineRule="auto"/>
        <w:ind w:left="440" w:firstLine="720"/>
        <w:jc w:val="both"/>
        <w:rPr>
          <w:rFonts w:eastAsia="Batang" w:cs="Aparajita"/>
          <w:sz w:val="24"/>
          <w:szCs w:val="24"/>
        </w:rPr>
      </w:pPr>
    </w:p>
    <w:p w:rsidR="007335FD" w:rsidRDefault="007335FD">
      <w:pPr>
        <w:autoSpaceDE w:val="0"/>
        <w:autoSpaceDN w:val="0"/>
        <w:adjustRightInd w:val="0"/>
        <w:spacing w:after="0" w:line="360" w:lineRule="auto"/>
        <w:ind w:left="440" w:firstLine="720"/>
        <w:jc w:val="both"/>
        <w:rPr>
          <w:rFonts w:eastAsia="Batang" w:cs="Aparajita"/>
          <w:sz w:val="24"/>
          <w:szCs w:val="24"/>
        </w:rPr>
      </w:pPr>
    </w:p>
    <w:p w:rsidR="007335FD" w:rsidRDefault="00851EC5">
      <w:pPr>
        <w:pStyle w:val="ListParagraph"/>
        <w:spacing w:line="360" w:lineRule="auto"/>
        <w:jc w:val="both"/>
        <w:rPr>
          <w:rFonts w:ascii="Aparajita" w:eastAsia="Batang" w:hAnsi="Aparajita" w:cs="Aparajita"/>
          <w:sz w:val="24"/>
          <w:szCs w:val="24"/>
        </w:rPr>
      </w:pPr>
      <w:r>
        <w:rPr>
          <w:rFonts w:ascii="Aparajita" w:eastAsia="Batang" w:hAnsi="Aparajita" w:cs="Aparajita"/>
          <w:sz w:val="24"/>
          <w:szCs w:val="24"/>
        </w:rPr>
        <w:pict>
          <v:rect id="_x0000_s1039" style="position:absolute;left:0;text-align:left;margin-left:57pt;margin-top:4.1pt;width:354.75pt;height:41.1pt;z-index:276860928;mso-width-relative:page;mso-height-relative:page" filled="f" strokecolor="#c00000" strokeweight="3pt">
            <v:shadow on="t" color="#632523" opacity=".5" offset="1pt"/>
            <v:textbox>
              <w:txbxContent>
                <w:p w:rsidR="00815898" w:rsidRDefault="00815898">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15898" w:rsidRDefault="00815898">
                  <w:pPr>
                    <w:jc w:val="center"/>
                  </w:pPr>
                </w:p>
                <w:p w:rsidR="00815898" w:rsidRDefault="00815898">
                  <w:pPr>
                    <w:jc w:val="center"/>
                    <w:rPr>
                      <w:rFonts w:ascii="Berlin Sans FB" w:hAnsi="Berlin Sans FB"/>
                      <w:sz w:val="24"/>
                      <w:szCs w:val="24"/>
                    </w:rPr>
                  </w:pPr>
                </w:p>
              </w:txbxContent>
            </v:textbox>
          </v:rect>
        </w:pict>
      </w:r>
    </w:p>
    <w:p w:rsidR="007335FD" w:rsidRDefault="007335FD">
      <w:pPr>
        <w:pStyle w:val="ListParagraph"/>
        <w:spacing w:line="360" w:lineRule="auto"/>
        <w:jc w:val="both"/>
        <w:rPr>
          <w:rFonts w:ascii="Aparajita" w:eastAsia="Batang" w:hAnsi="Aparajita" w:cs="Aparajita"/>
          <w:sz w:val="24"/>
          <w:szCs w:val="24"/>
        </w:rPr>
      </w:pPr>
    </w:p>
    <w:p w:rsidR="007335FD" w:rsidRDefault="00815898">
      <w:pPr>
        <w:pStyle w:val="ListParagraph"/>
        <w:spacing w:line="360" w:lineRule="auto"/>
        <w:ind w:firstLine="720"/>
        <w:jc w:val="both"/>
        <w:rPr>
          <w:rFonts w:eastAsia="Batang" w:cs="Aparajita"/>
          <w:sz w:val="24"/>
          <w:szCs w:val="24"/>
        </w:rPr>
      </w:pPr>
      <w:proofErr w:type="gramStart"/>
      <w:r>
        <w:rPr>
          <w:rFonts w:eastAsia="Batang" w:cs="Aparajita"/>
          <w:sz w:val="24"/>
          <w:szCs w:val="24"/>
        </w:rPr>
        <w:t>Capaian  Indikator</w:t>
      </w:r>
      <w:proofErr w:type="gramEnd"/>
      <w:r>
        <w:rPr>
          <w:rFonts w:eastAsia="Batang" w:cs="Aparajita"/>
          <w:sz w:val="24"/>
          <w:szCs w:val="24"/>
        </w:rPr>
        <w:t xml:space="preserve"> Kinerja = </w:t>
      </w:r>
      <w:r>
        <w:rPr>
          <w:rFonts w:eastAsia="Batang" w:cs="Aparajita"/>
          <w:position w:val="-24"/>
          <w:sz w:val="24"/>
          <w:szCs w:val="24"/>
        </w:rPr>
        <w:object w:dxaOrig="1320" w:dyaOrig="620">
          <v:shape id="_x0000_i1026" type="#_x0000_t75" style="width:66pt;height:30.75pt" o:ole="">
            <v:imagedata r:id="rId30" o:title=""/>
          </v:shape>
          <o:OLEObject Type="Embed" ProgID="Equation.3" ShapeID="_x0000_i1026" DrawAspect="Content" ObjectID="_1621771241" r:id="rId31"/>
        </w:object>
      </w:r>
      <w:r>
        <w:rPr>
          <w:rFonts w:eastAsia="Batang" w:cs="Aparajita"/>
          <w:sz w:val="24"/>
          <w:szCs w:val="24"/>
        </w:rPr>
        <w:t>= 105,06</w:t>
      </w:r>
      <w:r>
        <w:rPr>
          <w:rFonts w:eastAsia="Batang" w:cs="Aparajita"/>
          <w:b/>
          <w:sz w:val="24"/>
          <w:szCs w:val="24"/>
        </w:rPr>
        <w:t xml:space="preserve">  </w:t>
      </w:r>
      <w:r>
        <w:rPr>
          <w:rFonts w:eastAsia="Batang" w:cs="Aparajita"/>
          <w:sz w:val="24"/>
          <w:szCs w:val="24"/>
        </w:rPr>
        <w:t>untuk realisasi fisik</w:t>
      </w:r>
    </w:p>
    <w:p w:rsidR="007335FD" w:rsidRDefault="00815898">
      <w:pPr>
        <w:pStyle w:val="ListParagraph"/>
        <w:spacing w:line="360" w:lineRule="auto"/>
        <w:ind w:firstLine="720"/>
        <w:jc w:val="both"/>
        <w:rPr>
          <w:rFonts w:eastAsia="Batang" w:cs="Aparajita"/>
          <w:sz w:val="24"/>
          <w:szCs w:val="24"/>
        </w:rPr>
      </w:pPr>
      <w:proofErr w:type="gramStart"/>
      <w:r>
        <w:rPr>
          <w:rFonts w:eastAsia="Batang" w:cs="Aparajita"/>
          <w:sz w:val="24"/>
          <w:szCs w:val="24"/>
        </w:rPr>
        <w:t>Capaian  Indikator</w:t>
      </w:r>
      <w:proofErr w:type="gramEnd"/>
      <w:r>
        <w:rPr>
          <w:rFonts w:eastAsia="Batang" w:cs="Aparajita"/>
          <w:sz w:val="24"/>
          <w:szCs w:val="24"/>
        </w:rPr>
        <w:t xml:space="preserve"> Kinerja = </w:t>
      </w:r>
      <w:r>
        <w:rPr>
          <w:rFonts w:eastAsia="Batang" w:cs="Aparajita"/>
          <w:position w:val="-24"/>
          <w:sz w:val="24"/>
          <w:szCs w:val="24"/>
        </w:rPr>
        <w:object w:dxaOrig="1320" w:dyaOrig="620">
          <v:shape id="_x0000_i1027" type="#_x0000_t75" style="width:66pt;height:30.75pt" o:ole="">
            <v:imagedata r:id="rId32" o:title=""/>
          </v:shape>
          <o:OLEObject Type="Embed" ProgID="Equation.3" ShapeID="_x0000_i1027" DrawAspect="Content" ObjectID="_1621771242" r:id="rId33"/>
        </w:object>
      </w:r>
      <w:r>
        <w:rPr>
          <w:rFonts w:eastAsia="Batang" w:cs="Aparajita"/>
          <w:sz w:val="24"/>
          <w:szCs w:val="24"/>
        </w:rPr>
        <w:t>= 101,25%</w:t>
      </w:r>
      <w:r>
        <w:rPr>
          <w:rFonts w:eastAsia="Batang" w:cs="Aparajita"/>
          <w:b/>
          <w:sz w:val="24"/>
          <w:szCs w:val="24"/>
        </w:rPr>
        <w:t xml:space="preserve"> </w:t>
      </w:r>
      <w:r>
        <w:rPr>
          <w:rFonts w:eastAsia="Batang" w:cs="Aparajita"/>
          <w:sz w:val="24"/>
          <w:szCs w:val="24"/>
        </w:rPr>
        <w:t>untuk realisasi keuangan</w:t>
      </w: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Jika dibandingkan dengan tahun-tahun sebelumnya, capaian indikator kinerja </w:t>
      </w:r>
      <w:r>
        <w:rPr>
          <w:rFonts w:eastAsia="Batang" w:cs="Aparajita"/>
          <w:sz w:val="24"/>
          <w:szCs w:val="24"/>
        </w:rPr>
        <w:t xml:space="preserve">persentase capaian realisasi fisik dan keuangan pelaksanaan program/kegiatan Badan Kesbangpol Prov Sumbar </w:t>
      </w:r>
      <w:r>
        <w:rPr>
          <w:rFonts w:cs="Cambria"/>
          <w:sz w:val="24"/>
          <w:szCs w:val="24"/>
        </w:rPr>
        <w:t>menunjukkan trend peningkatan, sebagaimana yang disajikan pada tabel berikut :</w:t>
      </w: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Tabel 3.11</w:t>
      </w:r>
    </w:p>
    <w:p w:rsidR="007335FD" w:rsidRDefault="00815898">
      <w:pPr>
        <w:pStyle w:val="NoSpacing"/>
        <w:jc w:val="center"/>
        <w:rPr>
          <w:rFonts w:hAnsi="Berlin Sans FB Demi"/>
          <w:b/>
          <w:bCs/>
          <w:sz w:val="24"/>
          <w:szCs w:val="24"/>
        </w:rPr>
      </w:pPr>
      <w:r>
        <w:rPr>
          <w:rFonts w:hAnsi="Berlin Sans FB Demi"/>
          <w:b/>
          <w:bCs/>
          <w:sz w:val="24"/>
          <w:szCs w:val="24"/>
        </w:rPr>
        <w:t>Capaian Indikator Kinerja Persentase Capaian Realisasi Fisik dan Keuangan Pelaksanaan Program/Kegiatan Tahun 2016-2018</w:t>
      </w:r>
    </w:p>
    <w:tbl>
      <w:tblPr>
        <w:tblStyle w:val="TableGrid"/>
        <w:tblpPr w:leftFromText="180" w:rightFromText="180" w:vertAnchor="text" w:horzAnchor="page" w:tblpX="2176" w:tblpY="234"/>
        <w:tblOverlap w:val="never"/>
        <w:tblW w:w="8398" w:type="dxa"/>
        <w:tblLayout w:type="fixed"/>
        <w:tblLook w:val="04A0" w:firstRow="1" w:lastRow="0" w:firstColumn="1" w:lastColumn="0" w:noHBand="0" w:noVBand="1"/>
      </w:tblPr>
      <w:tblGrid>
        <w:gridCol w:w="506"/>
        <w:gridCol w:w="2234"/>
        <w:gridCol w:w="922"/>
        <w:gridCol w:w="822"/>
        <w:gridCol w:w="878"/>
        <w:gridCol w:w="900"/>
        <w:gridCol w:w="1178"/>
        <w:gridCol w:w="949"/>
        <w:gridCol w:w="9"/>
      </w:tblGrid>
      <w:tr w:rsidR="007335FD">
        <w:trPr>
          <w:gridAfter w:val="1"/>
          <w:wAfter w:w="9" w:type="dxa"/>
          <w:trHeight w:val="426"/>
        </w:trPr>
        <w:tc>
          <w:tcPr>
            <w:tcW w:w="506"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No</w:t>
            </w:r>
          </w:p>
        </w:tc>
        <w:tc>
          <w:tcPr>
            <w:tcW w:w="2234"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Indikator Kinerja</w:t>
            </w:r>
          </w:p>
        </w:tc>
        <w:tc>
          <w:tcPr>
            <w:tcW w:w="5649" w:type="dxa"/>
            <w:gridSpan w:val="6"/>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ab/>
              <w:t>Capaian Realisai Fisik dan Keuangan</w:t>
            </w:r>
            <w:r>
              <w:rPr>
                <w:rFonts w:hAnsi="Rockwell"/>
                <w:b/>
                <w:color w:val="FFFFFF" w:themeColor="background1"/>
              </w:rPr>
              <w:tab/>
            </w:r>
          </w:p>
        </w:tc>
      </w:tr>
      <w:tr w:rsidR="007335FD">
        <w:trPr>
          <w:gridAfter w:val="1"/>
          <w:wAfter w:w="9" w:type="dxa"/>
        </w:trPr>
        <w:tc>
          <w:tcPr>
            <w:tcW w:w="506"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2234"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1744" w:type="dxa"/>
            <w:gridSpan w:val="2"/>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2016</w:t>
            </w:r>
          </w:p>
        </w:tc>
        <w:tc>
          <w:tcPr>
            <w:tcW w:w="1778" w:type="dxa"/>
            <w:gridSpan w:val="2"/>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2017</w:t>
            </w:r>
          </w:p>
        </w:tc>
        <w:tc>
          <w:tcPr>
            <w:tcW w:w="2127" w:type="dxa"/>
            <w:gridSpan w:val="2"/>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2018</w:t>
            </w:r>
          </w:p>
        </w:tc>
      </w:tr>
      <w:tr w:rsidR="007335FD">
        <w:tc>
          <w:tcPr>
            <w:tcW w:w="506"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2234"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922"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Fisik</w:t>
            </w:r>
          </w:p>
        </w:tc>
        <w:tc>
          <w:tcPr>
            <w:tcW w:w="822"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Keu</w:t>
            </w:r>
          </w:p>
        </w:tc>
        <w:tc>
          <w:tcPr>
            <w:tcW w:w="878"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Fisik</w:t>
            </w:r>
          </w:p>
        </w:tc>
        <w:tc>
          <w:tcPr>
            <w:tcW w:w="900"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Keu</w:t>
            </w:r>
          </w:p>
        </w:tc>
        <w:tc>
          <w:tcPr>
            <w:tcW w:w="1178"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Fisik</w:t>
            </w:r>
          </w:p>
        </w:tc>
        <w:tc>
          <w:tcPr>
            <w:tcW w:w="958" w:type="dxa"/>
            <w:gridSpan w:val="2"/>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Keu</w:t>
            </w:r>
          </w:p>
        </w:tc>
      </w:tr>
      <w:tr w:rsidR="007335FD">
        <w:tc>
          <w:tcPr>
            <w:tcW w:w="506" w:type="dxa"/>
          </w:tcPr>
          <w:p w:rsidR="007335FD" w:rsidRDefault="00815898">
            <w:pPr>
              <w:pStyle w:val="ListParagraph"/>
              <w:spacing w:line="360" w:lineRule="auto"/>
              <w:ind w:left="0"/>
              <w:jc w:val="both"/>
              <w:rPr>
                <w:rFonts w:hAnsi="Rockwell"/>
              </w:rPr>
            </w:pPr>
            <w:r>
              <w:rPr>
                <w:rFonts w:hAnsi="Rockwell"/>
              </w:rPr>
              <w:t>1</w:t>
            </w:r>
          </w:p>
        </w:tc>
        <w:tc>
          <w:tcPr>
            <w:tcW w:w="2234" w:type="dxa"/>
          </w:tcPr>
          <w:p w:rsidR="007335FD" w:rsidRDefault="00815898">
            <w:pPr>
              <w:pStyle w:val="NoSpacing"/>
              <w:jc w:val="left"/>
              <w:rPr>
                <w:sz w:val="22"/>
                <w:szCs w:val="22"/>
              </w:rPr>
            </w:pPr>
            <w:r>
              <w:rPr>
                <w:sz w:val="22"/>
                <w:szCs w:val="22"/>
              </w:rPr>
              <w:t>Persentase capaian realisasi fisik dan keuangan pelaksanaan program/kegiatan</w:t>
            </w:r>
          </w:p>
        </w:tc>
        <w:tc>
          <w:tcPr>
            <w:tcW w:w="922" w:type="dxa"/>
          </w:tcPr>
          <w:p w:rsidR="007335FD" w:rsidRDefault="00815898">
            <w:pPr>
              <w:pStyle w:val="ListParagraph"/>
              <w:spacing w:line="360" w:lineRule="auto"/>
              <w:ind w:left="0"/>
              <w:jc w:val="center"/>
              <w:rPr>
                <w:rFonts w:hAnsi="Rockwell"/>
              </w:rPr>
            </w:pPr>
            <w:r>
              <w:rPr>
                <w:rFonts w:hAnsi="Rockwell"/>
              </w:rPr>
              <w:t>101,7</w:t>
            </w:r>
          </w:p>
        </w:tc>
        <w:tc>
          <w:tcPr>
            <w:tcW w:w="822" w:type="dxa"/>
          </w:tcPr>
          <w:p w:rsidR="007335FD" w:rsidRDefault="00815898">
            <w:pPr>
              <w:pStyle w:val="ListParagraph"/>
              <w:spacing w:line="360" w:lineRule="auto"/>
              <w:ind w:left="0"/>
              <w:jc w:val="center"/>
              <w:rPr>
                <w:rFonts w:hAnsi="Rockwell"/>
              </w:rPr>
            </w:pPr>
            <w:r>
              <w:rPr>
                <w:rFonts w:hAnsi="Rockwell"/>
              </w:rPr>
              <w:t>97,02</w:t>
            </w:r>
          </w:p>
        </w:tc>
        <w:tc>
          <w:tcPr>
            <w:tcW w:w="878" w:type="dxa"/>
          </w:tcPr>
          <w:p w:rsidR="007335FD" w:rsidRDefault="00815898">
            <w:pPr>
              <w:pStyle w:val="ListParagraph"/>
              <w:spacing w:line="360" w:lineRule="auto"/>
              <w:ind w:left="0"/>
              <w:jc w:val="center"/>
              <w:rPr>
                <w:rFonts w:hAnsi="Rockwell"/>
              </w:rPr>
            </w:pPr>
            <w:r>
              <w:rPr>
                <w:rFonts w:hAnsi="Rockwell"/>
              </w:rPr>
              <w:t>105,05</w:t>
            </w:r>
          </w:p>
        </w:tc>
        <w:tc>
          <w:tcPr>
            <w:tcW w:w="900" w:type="dxa"/>
          </w:tcPr>
          <w:p w:rsidR="007335FD" w:rsidRDefault="00815898">
            <w:pPr>
              <w:pStyle w:val="ListParagraph"/>
              <w:spacing w:line="360" w:lineRule="auto"/>
              <w:ind w:left="0"/>
              <w:jc w:val="center"/>
              <w:rPr>
                <w:rFonts w:hAnsi="Rockwell"/>
              </w:rPr>
            </w:pPr>
            <w:r>
              <w:rPr>
                <w:rFonts w:hAnsi="Rockwell"/>
              </w:rPr>
              <w:t>96,38</w:t>
            </w:r>
          </w:p>
        </w:tc>
        <w:tc>
          <w:tcPr>
            <w:tcW w:w="1178" w:type="dxa"/>
          </w:tcPr>
          <w:p w:rsidR="007335FD" w:rsidRDefault="00815898">
            <w:pPr>
              <w:pStyle w:val="ListParagraph"/>
              <w:spacing w:line="360" w:lineRule="auto"/>
              <w:ind w:left="0"/>
              <w:jc w:val="center"/>
              <w:rPr>
                <w:rFonts w:hAnsi="Rockwell"/>
              </w:rPr>
            </w:pPr>
            <w:r>
              <w:rPr>
                <w:rFonts w:hAnsi="Rockwell"/>
              </w:rPr>
              <w:t>105,06</w:t>
            </w:r>
          </w:p>
        </w:tc>
        <w:tc>
          <w:tcPr>
            <w:tcW w:w="958" w:type="dxa"/>
            <w:gridSpan w:val="2"/>
          </w:tcPr>
          <w:p w:rsidR="007335FD" w:rsidRDefault="00815898">
            <w:pPr>
              <w:pStyle w:val="ListParagraph"/>
              <w:spacing w:line="360" w:lineRule="auto"/>
              <w:ind w:left="0"/>
              <w:jc w:val="center"/>
              <w:rPr>
                <w:rFonts w:hAnsi="Rockwell"/>
              </w:rPr>
            </w:pPr>
            <w:r>
              <w:rPr>
                <w:rFonts w:hAnsi="Rockwell"/>
              </w:rPr>
              <w:t>101,25</w:t>
            </w:r>
          </w:p>
        </w:tc>
      </w:tr>
    </w:tbl>
    <w:p w:rsidR="007335FD" w:rsidRDefault="007335FD">
      <w:pPr>
        <w:pStyle w:val="NoSpacing"/>
        <w:jc w:val="cente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Grafik 3.4</w:t>
      </w:r>
    </w:p>
    <w:p w:rsidR="007335FD" w:rsidRDefault="00815898">
      <w:pPr>
        <w:pStyle w:val="NoSpacing"/>
        <w:jc w:val="center"/>
        <w:rPr>
          <w:rFonts w:hAnsi="Berlin Sans FB Demi"/>
          <w:b/>
          <w:bCs/>
          <w:sz w:val="24"/>
          <w:szCs w:val="24"/>
        </w:rPr>
      </w:pPr>
      <w:r>
        <w:rPr>
          <w:rFonts w:hAnsi="Berlin Sans FB Demi"/>
          <w:b/>
          <w:bCs/>
          <w:sz w:val="24"/>
          <w:szCs w:val="24"/>
        </w:rPr>
        <w:t>Capaian Indikator Kinerja Persentase Capaian Realisasi Fisik dan Keuangan Pelaksanaan Program/Kegiatan</w:t>
      </w:r>
    </w:p>
    <w:p w:rsidR="007335FD" w:rsidRDefault="00815898">
      <w:pPr>
        <w:pStyle w:val="NoSpacing"/>
        <w:jc w:val="center"/>
        <w:rPr>
          <w:rFonts w:hAnsi="Berlin Sans FB Demi"/>
          <w:b/>
          <w:bCs/>
          <w:sz w:val="24"/>
          <w:szCs w:val="24"/>
        </w:rPr>
      </w:pPr>
      <w:r>
        <w:rPr>
          <w:rFonts w:hAnsi="Berlin Sans FB Demi"/>
          <w:b/>
          <w:bCs/>
          <w:sz w:val="24"/>
          <w:szCs w:val="24"/>
        </w:rPr>
        <w:t>Tahun 2016-2018</w:t>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firstLine="720"/>
        <w:jc w:val="both"/>
        <w:rPr>
          <w:rFonts w:cs="Cambria"/>
          <w:sz w:val="24"/>
          <w:szCs w:val="24"/>
        </w:rPr>
      </w:pPr>
      <w:r>
        <w:rPr>
          <w:rFonts w:cs="Cambria"/>
          <w:noProof/>
          <w:sz w:val="24"/>
          <w:szCs w:val="24"/>
        </w:rPr>
        <w:drawing>
          <wp:inline distT="0" distB="0" distL="114300" distR="114300">
            <wp:extent cx="5080000" cy="1546860"/>
            <wp:effectExtent l="12700" t="12700" r="1270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Dari tabel di atas, jika dibandingkan capaian indikator kinerja pada tahun 2018 dengan 2 tahun sebelumnya, untuk realisasi fisik menunjukkan trend peningkatan dari </w:t>
      </w:r>
      <w:r>
        <w:rPr>
          <w:rFonts w:cs="Cambria"/>
          <w:sz w:val="24"/>
          <w:szCs w:val="24"/>
        </w:rPr>
        <w:lastRenderedPageBreak/>
        <w:t xml:space="preserve">tahun ke tahun, sedangkan untuk realisasi keuangan, pada tahun 2018 mengalami peningkatan sebesar 4,87% dari tahun 2017, namun mengalami penurunan pada tahun 2017 sebesar 0,64% dari tahun sebelumnya. </w:t>
      </w:r>
      <w:proofErr w:type="gramStart"/>
      <w:r>
        <w:rPr>
          <w:rFonts w:cs="Cambria"/>
          <w:sz w:val="24"/>
          <w:szCs w:val="24"/>
        </w:rPr>
        <w:t>Penurunan ini dipengaruhi oleh beberapa faktor.</w:t>
      </w:r>
      <w:proofErr w:type="gramEnd"/>
      <w:r>
        <w:rPr>
          <w:rFonts w:cs="Cambria"/>
          <w:sz w:val="24"/>
          <w:szCs w:val="24"/>
        </w:rPr>
        <w:t xml:space="preserve"> Dalam pelaksanaannya, terdapat beberapa hambatan atau kendala dalam pencapaian kinerja, di </w:t>
      </w:r>
      <w:proofErr w:type="gramStart"/>
      <w:r>
        <w:rPr>
          <w:rFonts w:cs="Cambria"/>
          <w:sz w:val="24"/>
          <w:szCs w:val="24"/>
        </w:rPr>
        <w:t>antaranya :</w:t>
      </w:r>
      <w:proofErr w:type="gramEnd"/>
    </w:p>
    <w:p w:rsidR="007335FD" w:rsidRDefault="00815898">
      <w:pPr>
        <w:pStyle w:val="ListParagraph"/>
        <w:numPr>
          <w:ilvl w:val="0"/>
          <w:numId w:val="31"/>
        </w:numPr>
        <w:autoSpaceDE w:val="0"/>
        <w:autoSpaceDN w:val="0"/>
        <w:adjustRightInd w:val="0"/>
        <w:spacing w:after="0" w:line="360" w:lineRule="auto"/>
        <w:ind w:left="880"/>
        <w:jc w:val="both"/>
        <w:rPr>
          <w:rFonts w:cs="Cambria"/>
          <w:sz w:val="24"/>
          <w:szCs w:val="24"/>
        </w:rPr>
      </w:pPr>
      <w:r>
        <w:rPr>
          <w:rFonts w:cs="Cambria"/>
          <w:sz w:val="24"/>
          <w:szCs w:val="24"/>
        </w:rPr>
        <w:t xml:space="preserve">Adanya regulasi baik di daerah maupun di pusat yang menyebabkan keterlambatan untuk melaksanakan kegiatan  </w:t>
      </w:r>
    </w:p>
    <w:p w:rsidR="007335FD" w:rsidRDefault="00815898">
      <w:pPr>
        <w:pStyle w:val="ListParagraph"/>
        <w:numPr>
          <w:ilvl w:val="0"/>
          <w:numId w:val="31"/>
        </w:numPr>
        <w:autoSpaceDE w:val="0"/>
        <w:autoSpaceDN w:val="0"/>
        <w:adjustRightInd w:val="0"/>
        <w:spacing w:after="0" w:line="360" w:lineRule="auto"/>
        <w:ind w:left="880"/>
        <w:jc w:val="both"/>
        <w:rPr>
          <w:rFonts w:cs="Cambria"/>
          <w:sz w:val="24"/>
          <w:szCs w:val="24"/>
        </w:rPr>
      </w:pPr>
      <w:r>
        <w:rPr>
          <w:rFonts w:cs="Cambria"/>
          <w:sz w:val="24"/>
          <w:szCs w:val="24"/>
        </w:rPr>
        <w:t>Sarana dan prasarana yang kurang memadai khususunya kesediaan jaringan internet yang aksesnya kadang-kadang lambat bahkan sering terputus</w:t>
      </w:r>
    </w:p>
    <w:p w:rsidR="007335FD" w:rsidRDefault="00815898">
      <w:pPr>
        <w:pStyle w:val="ListParagraph"/>
        <w:numPr>
          <w:ilvl w:val="0"/>
          <w:numId w:val="31"/>
        </w:numPr>
        <w:autoSpaceDE w:val="0"/>
        <w:autoSpaceDN w:val="0"/>
        <w:adjustRightInd w:val="0"/>
        <w:spacing w:after="0" w:line="360" w:lineRule="auto"/>
        <w:ind w:left="880"/>
        <w:jc w:val="both"/>
        <w:rPr>
          <w:rFonts w:cs="Cambria"/>
          <w:sz w:val="24"/>
          <w:szCs w:val="24"/>
        </w:rPr>
      </w:pPr>
      <w:r>
        <w:rPr>
          <w:rFonts w:cs="Cambria"/>
          <w:sz w:val="24"/>
          <w:szCs w:val="24"/>
        </w:rPr>
        <w:t>Dalam penyusunan perencanaan ada beberapa kendala yang dihadapi diantaranya penyusunan pagu anggaran tidak sesui dengan harga pasar, salah penentuan akun sehingga perlu merevisi dokumen anggaran, data pendukung yang tidak lengkap pada saat penyusunan anggaran dan perencanaan anggaran yang tidak sesuai dengan kebutuhan</w:t>
      </w:r>
    </w:p>
    <w:p w:rsidR="007335FD" w:rsidRDefault="00815898">
      <w:pPr>
        <w:pStyle w:val="ListParagraph"/>
        <w:numPr>
          <w:ilvl w:val="0"/>
          <w:numId w:val="31"/>
        </w:numPr>
        <w:autoSpaceDE w:val="0"/>
        <w:autoSpaceDN w:val="0"/>
        <w:adjustRightInd w:val="0"/>
        <w:spacing w:after="0" w:line="360" w:lineRule="auto"/>
        <w:ind w:left="880"/>
        <w:jc w:val="both"/>
        <w:rPr>
          <w:rFonts w:cs="Cambria"/>
          <w:sz w:val="24"/>
          <w:szCs w:val="24"/>
        </w:rPr>
      </w:pPr>
      <w:r>
        <w:rPr>
          <w:rFonts w:cs="Cambria"/>
          <w:sz w:val="24"/>
          <w:szCs w:val="24"/>
        </w:rPr>
        <w:t>Kurangnya disiplin dalam mengikuti jadwal kegiatan</w:t>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Untuk menghadapi kendala di atas, ada beberapa solusi atau upaya yang dapat dilakukan di tahun-tahun berikutnya, </w:t>
      </w:r>
      <w:proofErr w:type="gramStart"/>
      <w:r>
        <w:rPr>
          <w:rFonts w:cs="Cambria"/>
          <w:sz w:val="24"/>
          <w:szCs w:val="24"/>
        </w:rPr>
        <w:t>diantaranya :</w:t>
      </w:r>
      <w:proofErr w:type="gramEnd"/>
    </w:p>
    <w:p w:rsidR="007335FD" w:rsidRDefault="00815898">
      <w:pPr>
        <w:pStyle w:val="NoSpacing"/>
        <w:numPr>
          <w:ilvl w:val="0"/>
          <w:numId w:val="32"/>
        </w:numPr>
        <w:spacing w:line="360" w:lineRule="auto"/>
        <w:ind w:leftChars="200" w:left="880" w:hanging="440"/>
        <w:rPr>
          <w:color w:val="0D0D0D" w:themeColor="text1" w:themeTint="F2"/>
          <w:sz w:val="24"/>
          <w:szCs w:val="24"/>
        </w:rPr>
      </w:pPr>
      <w:r>
        <w:rPr>
          <w:sz w:val="24"/>
          <w:szCs w:val="24"/>
        </w:rPr>
        <w:t>Dalam penyusunan anggaran, perlu dipersiapkan secara matang rencana pelaksanaan kegiatan beserta pengalokasian anggaran sesuai kebutuhan berdasarkan skala prioritas agar kegiatan tersebut dapat berjalan secara efektif, efisien dan dapat diukur hasilnya.</w:t>
      </w:r>
    </w:p>
    <w:p w:rsidR="007335FD" w:rsidRDefault="00815898">
      <w:pPr>
        <w:pStyle w:val="NoSpacing"/>
        <w:numPr>
          <w:ilvl w:val="0"/>
          <w:numId w:val="32"/>
        </w:numPr>
        <w:spacing w:line="360" w:lineRule="auto"/>
        <w:ind w:leftChars="200" w:left="880" w:hanging="440"/>
        <w:rPr>
          <w:color w:val="0D0D0D" w:themeColor="text1" w:themeTint="F2"/>
          <w:sz w:val="24"/>
          <w:szCs w:val="24"/>
        </w:rPr>
      </w:pPr>
      <w:r>
        <w:rPr>
          <w:sz w:val="24"/>
          <w:szCs w:val="24"/>
        </w:rPr>
        <w:t>Pengawasan (supervision) Kuasa Pengguna Anggaran dan PPTK perlu ditingkatan dalam hal tertib pelaksanaan, pertanggungjawaban, dan pelaporan.</w:t>
      </w:r>
    </w:p>
    <w:p w:rsidR="007335FD" w:rsidRDefault="00815898">
      <w:pPr>
        <w:pStyle w:val="NoSpacing"/>
        <w:numPr>
          <w:ilvl w:val="0"/>
          <w:numId w:val="32"/>
        </w:numPr>
        <w:spacing w:line="360" w:lineRule="auto"/>
        <w:ind w:leftChars="200" w:left="880" w:hanging="440"/>
        <w:rPr>
          <w:color w:val="0D0D0D" w:themeColor="text1" w:themeTint="F2"/>
          <w:sz w:val="24"/>
          <w:szCs w:val="24"/>
        </w:rPr>
      </w:pPr>
      <w:r>
        <w:rPr>
          <w:sz w:val="24"/>
          <w:szCs w:val="24"/>
        </w:rPr>
        <w:t>Perlunya perencanaan anggaran yang realistis dan memperhatikan standar harga dalam perencanaan anggaran</w:t>
      </w:r>
    </w:p>
    <w:p w:rsidR="007335FD" w:rsidRDefault="00815898">
      <w:pPr>
        <w:pStyle w:val="NoSpacing"/>
        <w:numPr>
          <w:ilvl w:val="0"/>
          <w:numId w:val="32"/>
        </w:numPr>
        <w:spacing w:line="360" w:lineRule="auto"/>
        <w:ind w:leftChars="200" w:left="880" w:hanging="440"/>
        <w:rPr>
          <w:color w:val="0D0D0D" w:themeColor="text1" w:themeTint="F2"/>
          <w:sz w:val="24"/>
          <w:szCs w:val="24"/>
        </w:rPr>
      </w:pPr>
      <w:r>
        <w:rPr>
          <w:sz w:val="24"/>
          <w:szCs w:val="24"/>
        </w:rPr>
        <w:t>Pemberian penghargaan (reward) dan sanksi (punishment) kepada pengelola dan pelaksana kegiatan sesuai dengan ketentuan.</w:t>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lastRenderedPageBreak/>
        <w:t>Jika dibandingkan dengan target akhir Renstra, kinerja baru tercapai 105</w:t>
      </w:r>
      <w:proofErr w:type="gramStart"/>
      <w:r>
        <w:rPr>
          <w:rFonts w:cs="Cambria"/>
          <w:sz w:val="24"/>
          <w:szCs w:val="24"/>
        </w:rPr>
        <w:t>,06</w:t>
      </w:r>
      <w:proofErr w:type="gramEnd"/>
      <w:r>
        <w:rPr>
          <w:rFonts w:cs="Cambria"/>
          <w:sz w:val="24"/>
          <w:szCs w:val="24"/>
        </w:rPr>
        <w:t>% untuk realisasi fisik dan 101,25% untuk realisasi keuangan sebagaimana dapat dilihat pada tabel di bawah ini :</w:t>
      </w:r>
    </w:p>
    <w:p w:rsidR="007335FD" w:rsidRDefault="00815898">
      <w:pPr>
        <w:pStyle w:val="NoSpacing"/>
        <w:jc w:val="center"/>
        <w:rPr>
          <w:rFonts w:hAnsi="Berlin Sans FB Demi"/>
          <w:b/>
          <w:bCs/>
          <w:sz w:val="24"/>
          <w:szCs w:val="24"/>
        </w:rPr>
      </w:pPr>
      <w:r>
        <w:rPr>
          <w:rFonts w:hAnsi="Berlin Sans FB Demi"/>
          <w:b/>
          <w:bCs/>
          <w:sz w:val="24"/>
          <w:szCs w:val="24"/>
        </w:rPr>
        <w:t>Tabel 3.12</w:t>
      </w:r>
    </w:p>
    <w:p w:rsidR="007335FD" w:rsidRDefault="00815898">
      <w:pPr>
        <w:pStyle w:val="NoSpacing"/>
        <w:jc w:val="center"/>
        <w:rPr>
          <w:rFonts w:hAnsi="Berlin Sans FB Demi"/>
          <w:b/>
          <w:bCs/>
          <w:sz w:val="24"/>
          <w:szCs w:val="24"/>
        </w:rPr>
      </w:pPr>
      <w:r>
        <w:rPr>
          <w:rFonts w:hAnsi="Berlin Sans FB Demi"/>
          <w:b/>
          <w:bCs/>
          <w:sz w:val="24"/>
          <w:szCs w:val="24"/>
        </w:rPr>
        <w:t>Perbandingan realisasi kinerja sampai dengan tahun 2021 dengan target jangka menengah yang terdapat dalam dokumen Renstra</w:t>
      </w:r>
    </w:p>
    <w:p w:rsidR="007335FD" w:rsidRDefault="007335FD">
      <w:pPr>
        <w:pStyle w:val="NoSpacing"/>
        <w:jc w:val="center"/>
        <w:rPr>
          <w:rFonts w:hAnsi="Berlin Sans FB Demi"/>
          <w:b/>
          <w:bCs/>
          <w:sz w:val="24"/>
          <w:szCs w:val="24"/>
        </w:rPr>
      </w:pPr>
    </w:p>
    <w:tbl>
      <w:tblPr>
        <w:tblStyle w:val="TableGrid"/>
        <w:tblW w:w="9240" w:type="dxa"/>
        <w:tblInd w:w="451" w:type="dxa"/>
        <w:tblLayout w:type="fixed"/>
        <w:tblLook w:val="04A0" w:firstRow="1" w:lastRow="0" w:firstColumn="1" w:lastColumn="0" w:noHBand="0" w:noVBand="1"/>
      </w:tblPr>
      <w:tblGrid>
        <w:gridCol w:w="1800"/>
        <w:gridCol w:w="1034"/>
        <w:gridCol w:w="792"/>
        <w:gridCol w:w="1418"/>
        <w:gridCol w:w="850"/>
        <w:gridCol w:w="1276"/>
        <w:gridCol w:w="1134"/>
        <w:gridCol w:w="936"/>
      </w:tblGrid>
      <w:tr w:rsidR="007335FD">
        <w:tc>
          <w:tcPr>
            <w:tcW w:w="1800" w:type="dxa"/>
            <w:vMerge w:val="restart"/>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INDIKATOR KINERJA</w:t>
            </w:r>
          </w:p>
        </w:tc>
        <w:tc>
          <w:tcPr>
            <w:tcW w:w="1034" w:type="dxa"/>
            <w:vMerge w:val="restart"/>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SATUAN</w:t>
            </w:r>
          </w:p>
        </w:tc>
        <w:tc>
          <w:tcPr>
            <w:tcW w:w="2210"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TAHUN 2018</w:t>
            </w:r>
          </w:p>
        </w:tc>
        <w:tc>
          <w:tcPr>
            <w:tcW w:w="850" w:type="dxa"/>
            <w:vMerge w:val="restart"/>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w:t>
            </w:r>
          </w:p>
        </w:tc>
        <w:tc>
          <w:tcPr>
            <w:tcW w:w="2410"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TAHUN 2021</w:t>
            </w:r>
          </w:p>
        </w:tc>
        <w:tc>
          <w:tcPr>
            <w:tcW w:w="936" w:type="dxa"/>
            <w:vMerge w:val="restart"/>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w:t>
            </w:r>
          </w:p>
        </w:tc>
      </w:tr>
      <w:tr w:rsidR="007335FD">
        <w:tc>
          <w:tcPr>
            <w:tcW w:w="1800" w:type="dxa"/>
            <w:vMerge/>
            <w:vAlign w:val="center"/>
          </w:tcPr>
          <w:p w:rsidR="007335FD" w:rsidRDefault="007335FD">
            <w:pPr>
              <w:autoSpaceDE w:val="0"/>
              <w:autoSpaceDN w:val="0"/>
              <w:adjustRightInd w:val="0"/>
              <w:spacing w:line="360" w:lineRule="auto"/>
              <w:jc w:val="center"/>
              <w:rPr>
                <w:rFonts w:cs="Cambria"/>
                <w:b/>
                <w:sz w:val="20"/>
                <w:szCs w:val="20"/>
              </w:rPr>
            </w:pPr>
          </w:p>
        </w:tc>
        <w:tc>
          <w:tcPr>
            <w:tcW w:w="1034" w:type="dxa"/>
            <w:vMerge/>
            <w:vAlign w:val="center"/>
          </w:tcPr>
          <w:p w:rsidR="007335FD" w:rsidRDefault="007335FD">
            <w:pPr>
              <w:autoSpaceDE w:val="0"/>
              <w:autoSpaceDN w:val="0"/>
              <w:adjustRightInd w:val="0"/>
              <w:spacing w:line="360" w:lineRule="auto"/>
              <w:jc w:val="center"/>
              <w:rPr>
                <w:rFonts w:cs="Cambria"/>
                <w:b/>
                <w:sz w:val="20"/>
                <w:szCs w:val="20"/>
              </w:rPr>
            </w:pPr>
          </w:p>
        </w:tc>
        <w:tc>
          <w:tcPr>
            <w:tcW w:w="792" w:type="dxa"/>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Target</w:t>
            </w:r>
          </w:p>
        </w:tc>
        <w:tc>
          <w:tcPr>
            <w:tcW w:w="1418" w:type="dxa"/>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Realisasi</w:t>
            </w:r>
          </w:p>
        </w:tc>
        <w:tc>
          <w:tcPr>
            <w:tcW w:w="850" w:type="dxa"/>
            <w:vMerge/>
            <w:shd w:val="clear" w:color="auto" w:fill="C00000"/>
            <w:vAlign w:val="center"/>
          </w:tcPr>
          <w:p w:rsidR="007335FD" w:rsidRDefault="007335FD">
            <w:pPr>
              <w:autoSpaceDE w:val="0"/>
              <w:autoSpaceDN w:val="0"/>
              <w:adjustRightInd w:val="0"/>
              <w:spacing w:line="360" w:lineRule="auto"/>
              <w:jc w:val="center"/>
              <w:rPr>
                <w:rFonts w:cs="Cambria"/>
                <w:b/>
                <w:sz w:val="20"/>
                <w:szCs w:val="20"/>
              </w:rPr>
            </w:pPr>
          </w:p>
        </w:tc>
        <w:tc>
          <w:tcPr>
            <w:tcW w:w="1276" w:type="dxa"/>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Target</w:t>
            </w:r>
          </w:p>
        </w:tc>
        <w:tc>
          <w:tcPr>
            <w:tcW w:w="1134" w:type="dxa"/>
            <w:shd w:val="clear" w:color="auto" w:fill="C00000"/>
            <w:vAlign w:val="center"/>
          </w:tcPr>
          <w:p w:rsidR="007335FD" w:rsidRDefault="00815898">
            <w:pPr>
              <w:autoSpaceDE w:val="0"/>
              <w:autoSpaceDN w:val="0"/>
              <w:adjustRightInd w:val="0"/>
              <w:spacing w:line="360" w:lineRule="auto"/>
              <w:jc w:val="center"/>
              <w:rPr>
                <w:rFonts w:cs="Cambria"/>
                <w:b/>
                <w:sz w:val="20"/>
                <w:szCs w:val="20"/>
              </w:rPr>
            </w:pPr>
            <w:r>
              <w:rPr>
                <w:rFonts w:cs="Cambria"/>
                <w:b/>
                <w:sz w:val="20"/>
                <w:szCs w:val="20"/>
              </w:rPr>
              <w:t>Realisasi s.d 2018</w:t>
            </w:r>
          </w:p>
        </w:tc>
        <w:tc>
          <w:tcPr>
            <w:tcW w:w="936" w:type="dxa"/>
            <w:vMerge/>
            <w:vAlign w:val="center"/>
          </w:tcPr>
          <w:p w:rsidR="007335FD" w:rsidRDefault="007335FD">
            <w:pPr>
              <w:autoSpaceDE w:val="0"/>
              <w:autoSpaceDN w:val="0"/>
              <w:adjustRightInd w:val="0"/>
              <w:spacing w:line="360" w:lineRule="auto"/>
              <w:jc w:val="center"/>
              <w:rPr>
                <w:rFonts w:cs="Cambria"/>
                <w:b/>
                <w:sz w:val="20"/>
                <w:szCs w:val="20"/>
              </w:rPr>
            </w:pPr>
          </w:p>
        </w:tc>
      </w:tr>
      <w:tr w:rsidR="007335FD">
        <w:tc>
          <w:tcPr>
            <w:tcW w:w="1800" w:type="dxa"/>
          </w:tcPr>
          <w:p w:rsidR="007335FD" w:rsidRDefault="00815898">
            <w:pPr>
              <w:pStyle w:val="NoSpacing"/>
              <w:jc w:val="left"/>
              <w:rPr>
                <w:color w:val="000000" w:themeColor="text1"/>
              </w:rPr>
            </w:pPr>
            <w:r>
              <w:rPr>
                <w:color w:val="000000" w:themeColor="text1"/>
              </w:rPr>
              <w:t>Persentase capaian realisasi fisik dan keuangan pelaksanaan program/kegiatan</w:t>
            </w:r>
          </w:p>
          <w:p w:rsidR="007335FD" w:rsidRDefault="007335FD">
            <w:pPr>
              <w:autoSpaceDE w:val="0"/>
              <w:autoSpaceDN w:val="0"/>
              <w:adjustRightInd w:val="0"/>
              <w:spacing w:line="360" w:lineRule="auto"/>
              <w:rPr>
                <w:rFonts w:cs="Cambria"/>
                <w:sz w:val="20"/>
                <w:szCs w:val="20"/>
              </w:rPr>
            </w:pPr>
          </w:p>
        </w:tc>
        <w:tc>
          <w:tcPr>
            <w:tcW w:w="103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w:t>
            </w:r>
          </w:p>
        </w:tc>
        <w:tc>
          <w:tcPr>
            <w:tcW w:w="792"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95</w:t>
            </w:r>
          </w:p>
          <w:p w:rsidR="007335FD" w:rsidRDefault="00815898">
            <w:pPr>
              <w:autoSpaceDE w:val="0"/>
              <w:autoSpaceDN w:val="0"/>
              <w:adjustRightInd w:val="0"/>
              <w:spacing w:line="360" w:lineRule="auto"/>
              <w:jc w:val="center"/>
              <w:rPr>
                <w:rFonts w:cs="Cambria"/>
                <w:sz w:val="20"/>
                <w:szCs w:val="20"/>
              </w:rPr>
            </w:pPr>
            <w:r>
              <w:rPr>
                <w:rFonts w:cs="Cambria"/>
                <w:sz w:val="20"/>
                <w:szCs w:val="20"/>
              </w:rPr>
              <w:t>(fisik)</w:t>
            </w:r>
          </w:p>
          <w:p w:rsidR="007335FD" w:rsidRDefault="00815898">
            <w:pPr>
              <w:autoSpaceDE w:val="0"/>
              <w:autoSpaceDN w:val="0"/>
              <w:adjustRightInd w:val="0"/>
              <w:spacing w:line="360" w:lineRule="auto"/>
              <w:jc w:val="center"/>
              <w:rPr>
                <w:rFonts w:cs="Cambria"/>
                <w:sz w:val="20"/>
                <w:szCs w:val="20"/>
              </w:rPr>
            </w:pPr>
            <w:r>
              <w:rPr>
                <w:rFonts w:cs="Cambria"/>
                <w:sz w:val="20"/>
                <w:szCs w:val="20"/>
              </w:rPr>
              <w:t>95</w:t>
            </w:r>
          </w:p>
          <w:p w:rsidR="007335FD" w:rsidRDefault="00815898">
            <w:pPr>
              <w:autoSpaceDE w:val="0"/>
              <w:autoSpaceDN w:val="0"/>
              <w:adjustRightInd w:val="0"/>
              <w:spacing w:line="360" w:lineRule="auto"/>
              <w:jc w:val="center"/>
              <w:rPr>
                <w:rFonts w:cs="Cambria"/>
                <w:sz w:val="20"/>
                <w:szCs w:val="20"/>
              </w:rPr>
            </w:pPr>
            <w:r>
              <w:rPr>
                <w:rFonts w:cs="Cambria"/>
                <w:sz w:val="20"/>
                <w:szCs w:val="20"/>
              </w:rPr>
              <w:t>(keuangan)</w:t>
            </w:r>
          </w:p>
        </w:tc>
        <w:tc>
          <w:tcPr>
            <w:tcW w:w="141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99,81</w:t>
            </w:r>
          </w:p>
          <w:p w:rsidR="007335FD" w:rsidRDefault="00815898">
            <w:pPr>
              <w:autoSpaceDE w:val="0"/>
              <w:autoSpaceDN w:val="0"/>
              <w:adjustRightInd w:val="0"/>
              <w:spacing w:line="360" w:lineRule="auto"/>
              <w:jc w:val="center"/>
              <w:rPr>
                <w:rFonts w:cs="Cambria"/>
                <w:sz w:val="20"/>
                <w:szCs w:val="20"/>
              </w:rPr>
            </w:pPr>
            <w:r>
              <w:rPr>
                <w:rFonts w:cs="Cambria"/>
                <w:sz w:val="20"/>
                <w:szCs w:val="20"/>
              </w:rPr>
              <w:t>(fisik)</w:t>
            </w:r>
          </w:p>
          <w:p w:rsidR="007335FD" w:rsidRDefault="00815898">
            <w:pPr>
              <w:autoSpaceDE w:val="0"/>
              <w:autoSpaceDN w:val="0"/>
              <w:adjustRightInd w:val="0"/>
              <w:spacing w:line="360" w:lineRule="auto"/>
              <w:jc w:val="center"/>
              <w:rPr>
                <w:rFonts w:cs="Cambria"/>
                <w:sz w:val="20"/>
                <w:szCs w:val="20"/>
              </w:rPr>
            </w:pPr>
            <w:r>
              <w:rPr>
                <w:rFonts w:cs="Cambria"/>
                <w:sz w:val="20"/>
                <w:szCs w:val="20"/>
              </w:rPr>
              <w:t>96,19</w:t>
            </w:r>
          </w:p>
          <w:p w:rsidR="007335FD" w:rsidRDefault="00815898">
            <w:pPr>
              <w:autoSpaceDE w:val="0"/>
              <w:autoSpaceDN w:val="0"/>
              <w:adjustRightInd w:val="0"/>
              <w:spacing w:line="360" w:lineRule="auto"/>
              <w:jc w:val="center"/>
              <w:rPr>
                <w:rFonts w:cs="Cambria"/>
                <w:sz w:val="20"/>
                <w:szCs w:val="20"/>
              </w:rPr>
            </w:pPr>
            <w:r>
              <w:rPr>
                <w:rFonts w:cs="Cambria"/>
                <w:sz w:val="20"/>
                <w:szCs w:val="20"/>
              </w:rPr>
              <w:t>(keuangan)</w:t>
            </w:r>
          </w:p>
        </w:tc>
        <w:tc>
          <w:tcPr>
            <w:tcW w:w="850"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105,06</w:t>
            </w:r>
          </w:p>
          <w:p w:rsidR="007335FD" w:rsidRDefault="007335FD">
            <w:pPr>
              <w:autoSpaceDE w:val="0"/>
              <w:autoSpaceDN w:val="0"/>
              <w:adjustRightInd w:val="0"/>
              <w:spacing w:line="360" w:lineRule="auto"/>
              <w:jc w:val="center"/>
              <w:rPr>
                <w:rFonts w:cs="Cambria"/>
                <w:sz w:val="20"/>
                <w:szCs w:val="20"/>
              </w:rPr>
            </w:pPr>
          </w:p>
          <w:p w:rsidR="007335FD" w:rsidRDefault="00815898">
            <w:pPr>
              <w:autoSpaceDE w:val="0"/>
              <w:autoSpaceDN w:val="0"/>
              <w:adjustRightInd w:val="0"/>
              <w:spacing w:line="360" w:lineRule="auto"/>
              <w:jc w:val="center"/>
              <w:rPr>
                <w:rFonts w:cs="Cambria"/>
                <w:sz w:val="20"/>
                <w:szCs w:val="20"/>
              </w:rPr>
            </w:pPr>
            <w:r>
              <w:rPr>
                <w:rFonts w:cs="Cambria"/>
                <w:sz w:val="20"/>
                <w:szCs w:val="20"/>
              </w:rPr>
              <w:t>101,25</w:t>
            </w:r>
          </w:p>
        </w:tc>
        <w:tc>
          <w:tcPr>
            <w:tcW w:w="127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95</w:t>
            </w:r>
          </w:p>
          <w:p w:rsidR="007335FD" w:rsidRDefault="007335FD">
            <w:pPr>
              <w:autoSpaceDE w:val="0"/>
              <w:autoSpaceDN w:val="0"/>
              <w:adjustRightInd w:val="0"/>
              <w:spacing w:line="360" w:lineRule="auto"/>
              <w:jc w:val="center"/>
              <w:rPr>
                <w:rFonts w:cs="Cambria"/>
                <w:sz w:val="20"/>
                <w:szCs w:val="20"/>
              </w:rPr>
            </w:pPr>
          </w:p>
          <w:p w:rsidR="007335FD" w:rsidRDefault="00815898">
            <w:pPr>
              <w:autoSpaceDE w:val="0"/>
              <w:autoSpaceDN w:val="0"/>
              <w:adjustRightInd w:val="0"/>
              <w:spacing w:line="360" w:lineRule="auto"/>
              <w:jc w:val="center"/>
              <w:rPr>
                <w:rFonts w:cs="Cambria"/>
                <w:sz w:val="20"/>
                <w:szCs w:val="20"/>
              </w:rPr>
            </w:pPr>
            <w:r>
              <w:rPr>
                <w:rFonts w:cs="Cambria"/>
                <w:sz w:val="20"/>
                <w:szCs w:val="20"/>
              </w:rPr>
              <w:t>95</w:t>
            </w:r>
          </w:p>
          <w:p w:rsidR="007335FD" w:rsidRDefault="007335FD">
            <w:pPr>
              <w:autoSpaceDE w:val="0"/>
              <w:autoSpaceDN w:val="0"/>
              <w:adjustRightInd w:val="0"/>
              <w:spacing w:line="360" w:lineRule="auto"/>
              <w:jc w:val="center"/>
              <w:rPr>
                <w:rFonts w:cs="Cambria"/>
                <w:sz w:val="20"/>
                <w:szCs w:val="20"/>
              </w:rPr>
            </w:pPr>
          </w:p>
        </w:tc>
        <w:tc>
          <w:tcPr>
            <w:tcW w:w="113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99,81</w:t>
            </w:r>
          </w:p>
          <w:p w:rsidR="007335FD" w:rsidRDefault="00815898">
            <w:pPr>
              <w:autoSpaceDE w:val="0"/>
              <w:autoSpaceDN w:val="0"/>
              <w:adjustRightInd w:val="0"/>
              <w:spacing w:line="360" w:lineRule="auto"/>
              <w:jc w:val="center"/>
              <w:rPr>
                <w:rFonts w:cs="Cambria"/>
                <w:sz w:val="20"/>
                <w:szCs w:val="20"/>
              </w:rPr>
            </w:pPr>
            <w:r>
              <w:rPr>
                <w:rFonts w:cs="Cambria"/>
                <w:sz w:val="20"/>
                <w:szCs w:val="20"/>
              </w:rPr>
              <w:t>(fisik)</w:t>
            </w:r>
          </w:p>
          <w:p w:rsidR="007335FD" w:rsidRDefault="00815898">
            <w:pPr>
              <w:autoSpaceDE w:val="0"/>
              <w:autoSpaceDN w:val="0"/>
              <w:adjustRightInd w:val="0"/>
              <w:spacing w:line="360" w:lineRule="auto"/>
              <w:jc w:val="center"/>
              <w:rPr>
                <w:rFonts w:cs="Cambria"/>
                <w:sz w:val="20"/>
                <w:szCs w:val="20"/>
              </w:rPr>
            </w:pPr>
            <w:r>
              <w:rPr>
                <w:rFonts w:cs="Cambria"/>
                <w:sz w:val="20"/>
                <w:szCs w:val="20"/>
              </w:rPr>
              <w:t>101,25</w:t>
            </w:r>
          </w:p>
          <w:p w:rsidR="007335FD" w:rsidRDefault="00815898">
            <w:pPr>
              <w:autoSpaceDE w:val="0"/>
              <w:autoSpaceDN w:val="0"/>
              <w:adjustRightInd w:val="0"/>
              <w:spacing w:line="360" w:lineRule="auto"/>
              <w:jc w:val="center"/>
              <w:rPr>
                <w:rFonts w:cs="Cambria"/>
                <w:sz w:val="20"/>
                <w:szCs w:val="20"/>
              </w:rPr>
            </w:pPr>
            <w:r>
              <w:rPr>
                <w:rFonts w:cs="Cambria"/>
                <w:sz w:val="20"/>
                <w:szCs w:val="20"/>
              </w:rPr>
              <w:t>(keuangan)</w:t>
            </w:r>
          </w:p>
        </w:tc>
        <w:tc>
          <w:tcPr>
            <w:tcW w:w="93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105,06</w:t>
            </w:r>
          </w:p>
          <w:p w:rsidR="007335FD" w:rsidRDefault="007335FD">
            <w:pPr>
              <w:autoSpaceDE w:val="0"/>
              <w:autoSpaceDN w:val="0"/>
              <w:adjustRightInd w:val="0"/>
              <w:spacing w:line="360" w:lineRule="auto"/>
              <w:jc w:val="center"/>
              <w:rPr>
                <w:rFonts w:cs="Cambria"/>
                <w:sz w:val="20"/>
                <w:szCs w:val="20"/>
              </w:rPr>
            </w:pPr>
          </w:p>
          <w:p w:rsidR="007335FD" w:rsidRDefault="00815898">
            <w:pPr>
              <w:autoSpaceDE w:val="0"/>
              <w:autoSpaceDN w:val="0"/>
              <w:adjustRightInd w:val="0"/>
              <w:spacing w:line="360" w:lineRule="auto"/>
              <w:jc w:val="center"/>
              <w:rPr>
                <w:rFonts w:cs="Cambria"/>
                <w:sz w:val="20"/>
                <w:szCs w:val="20"/>
              </w:rPr>
            </w:pPr>
            <w:r>
              <w:rPr>
                <w:rFonts w:cs="Cambria"/>
                <w:sz w:val="20"/>
                <w:szCs w:val="20"/>
              </w:rPr>
              <w:t>101,25</w:t>
            </w:r>
          </w:p>
          <w:p w:rsidR="007335FD" w:rsidRDefault="007335FD">
            <w:pPr>
              <w:autoSpaceDE w:val="0"/>
              <w:autoSpaceDN w:val="0"/>
              <w:adjustRightInd w:val="0"/>
              <w:spacing w:line="360" w:lineRule="auto"/>
              <w:jc w:val="center"/>
              <w:rPr>
                <w:rFonts w:cs="Cambria"/>
                <w:sz w:val="20"/>
                <w:szCs w:val="20"/>
              </w:rPr>
            </w:pPr>
          </w:p>
        </w:tc>
      </w:tr>
    </w:tbl>
    <w:p w:rsidR="007335FD" w:rsidRDefault="007335FD">
      <w:pPr>
        <w:pStyle w:val="Default"/>
        <w:spacing w:line="360" w:lineRule="auto"/>
        <w:ind w:firstLine="426"/>
        <w:jc w:val="both"/>
        <w:rPr>
          <w:rFonts w:asciiTheme="minorHAnsi" w:hAnsiTheme="minorHAnsi" w:cs="Cambria"/>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Upaya Badan Kesbangpol Prov Sumbar untuk menunjang keberhasilan pencapaian kinerja </w:t>
      </w:r>
      <w:proofErr w:type="gramStart"/>
      <w:r>
        <w:rPr>
          <w:rFonts w:cs="Cambria"/>
          <w:sz w:val="24"/>
          <w:szCs w:val="24"/>
        </w:rPr>
        <w:t>sasaran  meningkatnya</w:t>
      </w:r>
      <w:proofErr w:type="gramEnd"/>
      <w:r>
        <w:rPr>
          <w:rFonts w:cs="Cambria"/>
          <w:sz w:val="24"/>
          <w:szCs w:val="24"/>
        </w:rPr>
        <w:t xml:space="preserve"> tata kelola organisasi didukung oleh program dan kegiatan sebagai berikut :</w:t>
      </w:r>
    </w:p>
    <w:p w:rsidR="007335FD" w:rsidRDefault="00815898">
      <w:pPr>
        <w:numPr>
          <w:ilvl w:val="0"/>
          <w:numId w:val="33"/>
        </w:numPr>
        <w:autoSpaceDE w:val="0"/>
        <w:autoSpaceDN w:val="0"/>
        <w:adjustRightInd w:val="0"/>
        <w:spacing w:before="120" w:after="120" w:line="240" w:lineRule="auto"/>
        <w:ind w:left="440"/>
        <w:jc w:val="both"/>
        <w:rPr>
          <w:rFonts w:ascii="Calibri" w:eastAsia="Batang" w:cs="Aparajita"/>
          <w:b/>
          <w:bCs/>
          <w:sz w:val="24"/>
          <w:szCs w:val="24"/>
        </w:rPr>
      </w:pPr>
      <w:r>
        <w:rPr>
          <w:rFonts w:ascii="Calibri" w:eastAsia="Batang" w:cs="Aparajita"/>
          <w:b/>
          <w:bCs/>
          <w:sz w:val="24"/>
          <w:szCs w:val="24"/>
        </w:rPr>
        <w:t>Program Pelayanan Administrasi Perkantoran</w:t>
      </w:r>
    </w:p>
    <w:p w:rsidR="007335FD" w:rsidRDefault="00815898">
      <w:pPr>
        <w:autoSpaceDE w:val="0"/>
        <w:autoSpaceDN w:val="0"/>
        <w:adjustRightInd w:val="0"/>
        <w:spacing w:before="120" w:after="120" w:line="240" w:lineRule="auto"/>
        <w:ind w:leftChars="300" w:left="660"/>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hAnsi="Bahnschrift SemiBold SemiConden" w:cs="Bahnschrift SemiBold SemiConden"/>
          <w:sz w:val="24"/>
          <w:szCs w:val="24"/>
          <w:lang w:val="en-GB"/>
        </w:rPr>
        <w:t>Penyediaan Jasa Surat Menyurat</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hAnsi="Bahnschrift SemiBold SemiConden" w:cs="Bahnschrift SemiBold SemiConden"/>
          <w:sz w:val="24"/>
          <w:szCs w:val="24"/>
          <w:lang w:val="en-GB"/>
        </w:rPr>
        <w:t>Penyediaan Jasa Komunikasi Sumber Daya Air dan Listrik</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Peralatan dan Perlengkapan Kantor</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Alat Tulis Kantor</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Barang Cetakan dan Penggandaan</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Komponen Instalasi Listrik/Penerangan Bangunan Kantor</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Bahan Bacaan dan Peraturan Perundang-undangan</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Rapat-rapat Koordinasi dan Konsultasi Dalam dan Luar Daerah</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Makanan dan Minuman</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Jasa Kebersihan Kantor</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 xml:space="preserve">Penyediaan Jasa Tenaga Sopir </w:t>
      </w:r>
    </w:p>
    <w:p w:rsidR="007335FD" w:rsidRDefault="00815898">
      <w:pPr>
        <w:numPr>
          <w:ilvl w:val="0"/>
          <w:numId w:val="34"/>
        </w:numPr>
        <w:tabs>
          <w:tab w:val="clear" w:pos="425"/>
        </w:tabs>
        <w:autoSpaceDE w:val="0"/>
        <w:autoSpaceDN w:val="0"/>
        <w:adjustRightInd w:val="0"/>
        <w:spacing w:before="120" w:after="120" w:line="240" w:lineRule="auto"/>
        <w:ind w:leftChars="300" w:left="900" w:hangingChars="100" w:hanging="240"/>
        <w:jc w:val="both"/>
        <w:rPr>
          <w:rFonts w:ascii="Calibri" w:eastAsia="Batang" w:cs="Aparajita"/>
          <w:sz w:val="24"/>
          <w:szCs w:val="24"/>
        </w:rPr>
      </w:pPr>
      <w:r>
        <w:rPr>
          <w:rFonts w:ascii="Calibri" w:eastAsia="Batang" w:cs="Aparajita"/>
          <w:sz w:val="24"/>
          <w:szCs w:val="24"/>
        </w:rPr>
        <w:t>Penyediaan Jasa Pengaman Kantor</w:t>
      </w:r>
    </w:p>
    <w:p w:rsidR="007335FD" w:rsidRDefault="007335FD">
      <w:pPr>
        <w:autoSpaceDE w:val="0"/>
        <w:autoSpaceDN w:val="0"/>
        <w:adjustRightInd w:val="0"/>
        <w:spacing w:before="120" w:after="120" w:line="240" w:lineRule="auto"/>
        <w:jc w:val="both"/>
        <w:rPr>
          <w:rFonts w:ascii="Calibri" w:eastAsia="Batang" w:cs="Aparajita"/>
          <w:sz w:val="24"/>
          <w:szCs w:val="24"/>
        </w:rPr>
      </w:pPr>
    </w:p>
    <w:p w:rsidR="007335FD" w:rsidRDefault="007335FD">
      <w:pPr>
        <w:autoSpaceDE w:val="0"/>
        <w:autoSpaceDN w:val="0"/>
        <w:adjustRightInd w:val="0"/>
        <w:spacing w:before="120" w:after="120" w:line="240" w:lineRule="auto"/>
        <w:jc w:val="both"/>
        <w:rPr>
          <w:rFonts w:ascii="Calibri" w:eastAsia="Batang" w:cs="Aparajita"/>
        </w:rPr>
      </w:pPr>
    </w:p>
    <w:p w:rsidR="007335FD" w:rsidRDefault="00815898">
      <w:pPr>
        <w:numPr>
          <w:ilvl w:val="0"/>
          <w:numId w:val="33"/>
        </w:numPr>
        <w:autoSpaceDE w:val="0"/>
        <w:autoSpaceDN w:val="0"/>
        <w:adjustRightInd w:val="0"/>
        <w:spacing w:before="120" w:after="120" w:line="240" w:lineRule="auto"/>
        <w:ind w:left="440"/>
        <w:jc w:val="both"/>
        <w:rPr>
          <w:rFonts w:ascii="Calibri" w:eastAsia="Batang" w:cs="Aparajita"/>
          <w:b/>
          <w:bCs/>
          <w:sz w:val="24"/>
          <w:szCs w:val="24"/>
        </w:rPr>
      </w:pPr>
      <w:r>
        <w:rPr>
          <w:rFonts w:ascii="Calibri" w:eastAsia="Batang" w:cs="Aparajita"/>
          <w:b/>
          <w:bCs/>
          <w:sz w:val="24"/>
          <w:szCs w:val="24"/>
        </w:rPr>
        <w:lastRenderedPageBreak/>
        <w:t>Program Peningkatan Sarana dan Prasarana Aparatur</w:t>
      </w:r>
    </w:p>
    <w:p w:rsidR="007335FD" w:rsidRDefault="00815898">
      <w:pPr>
        <w:autoSpaceDE w:val="0"/>
        <w:autoSpaceDN w:val="0"/>
        <w:adjustRightInd w:val="0"/>
        <w:spacing w:before="120" w:after="120" w:line="240" w:lineRule="auto"/>
        <w:ind w:leftChars="300" w:left="660"/>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Pengadaan Meubeleur</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Pengadaan Komputer dan Jaringan Komputerisasi</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Pengadaan Alat Studio, Alat Komunikasi dan Alat Informasi</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Pemeliharaan Rutin/Berkala Peralatan Studio, Alat Komunikasi dan Alat Informasi</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Pemeliharan Rutin/Berkala Gedung Kantor</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Pemeliharaan Rutin/Berkala Kendaraan Dinas/Operasional</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Pemeliharaan Rutin/Berkala Peralatan/Perlengkapan Kantor</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Pemeliharaan Rutin/Berkala Komputer dan Jaringan Komputerisasi</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Pengelolaan, Pengawasan, dan Pengendalian Asset OPD</w:t>
      </w:r>
    </w:p>
    <w:p w:rsidR="007335FD" w:rsidRDefault="00815898">
      <w:pPr>
        <w:numPr>
          <w:ilvl w:val="0"/>
          <w:numId w:val="35"/>
        </w:numPr>
        <w:tabs>
          <w:tab w:val="clear" w:pos="425"/>
          <w:tab w:val="left" w:pos="240"/>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Pengadaan Kendaraan Dinas/Operasional</w:t>
      </w:r>
    </w:p>
    <w:p w:rsidR="007335FD" w:rsidRDefault="00815898">
      <w:pPr>
        <w:numPr>
          <w:ilvl w:val="0"/>
          <w:numId w:val="33"/>
        </w:numPr>
        <w:autoSpaceDE w:val="0"/>
        <w:autoSpaceDN w:val="0"/>
        <w:adjustRightInd w:val="0"/>
        <w:spacing w:before="120" w:after="120" w:line="240" w:lineRule="auto"/>
        <w:ind w:left="440"/>
        <w:jc w:val="both"/>
        <w:rPr>
          <w:rFonts w:ascii="Calibri" w:eastAsia="Batang" w:cs="Aparajita"/>
          <w:b/>
          <w:bCs/>
          <w:sz w:val="24"/>
          <w:szCs w:val="24"/>
        </w:rPr>
      </w:pPr>
      <w:r>
        <w:rPr>
          <w:rFonts w:ascii="Calibri" w:eastAsia="Batang" w:cs="Aparajita"/>
          <w:b/>
          <w:bCs/>
          <w:sz w:val="24"/>
          <w:szCs w:val="24"/>
        </w:rPr>
        <w:t>Program Peningkatan Disiplin Aparatur</w:t>
      </w:r>
    </w:p>
    <w:p w:rsidR="007335FD" w:rsidRDefault="00815898">
      <w:pPr>
        <w:autoSpaceDE w:val="0"/>
        <w:autoSpaceDN w:val="0"/>
        <w:adjustRightInd w:val="0"/>
        <w:spacing w:before="120" w:after="120" w:line="240" w:lineRule="auto"/>
        <w:ind w:leftChars="300" w:left="660"/>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36"/>
        </w:numPr>
        <w:tabs>
          <w:tab w:val="clear" w:pos="425"/>
        </w:tabs>
        <w:autoSpaceDE w:val="0"/>
        <w:autoSpaceDN w:val="0"/>
        <w:adjustRightInd w:val="0"/>
        <w:spacing w:before="120" w:after="120" w:line="240" w:lineRule="auto"/>
        <w:ind w:left="880" w:hanging="220"/>
        <w:jc w:val="both"/>
        <w:rPr>
          <w:rFonts w:ascii="Calibri" w:eastAsia="Batang" w:cs="Aparajita"/>
          <w:sz w:val="24"/>
          <w:szCs w:val="24"/>
        </w:rPr>
      </w:pPr>
      <w:r>
        <w:rPr>
          <w:rFonts w:ascii="Calibri" w:eastAsia="Batang" w:cs="Aparajita"/>
          <w:sz w:val="24"/>
          <w:szCs w:val="24"/>
        </w:rPr>
        <w:t>Pengadaan Pakaian Dinas Beserta Perlengkapannya</w:t>
      </w:r>
    </w:p>
    <w:p w:rsidR="007335FD" w:rsidRDefault="00815898">
      <w:pPr>
        <w:numPr>
          <w:ilvl w:val="0"/>
          <w:numId w:val="33"/>
        </w:numPr>
        <w:autoSpaceDE w:val="0"/>
        <w:autoSpaceDN w:val="0"/>
        <w:adjustRightInd w:val="0"/>
        <w:spacing w:before="120" w:after="120" w:line="240" w:lineRule="auto"/>
        <w:ind w:left="440"/>
        <w:jc w:val="both"/>
        <w:rPr>
          <w:rFonts w:ascii="Calibri" w:eastAsia="Batang" w:cs="Aparajita"/>
          <w:b/>
          <w:bCs/>
          <w:sz w:val="24"/>
          <w:szCs w:val="24"/>
        </w:rPr>
      </w:pPr>
      <w:r>
        <w:rPr>
          <w:rFonts w:ascii="Calibri" w:eastAsia="Batang" w:cs="Aparajita"/>
          <w:b/>
          <w:bCs/>
          <w:sz w:val="24"/>
          <w:szCs w:val="24"/>
        </w:rPr>
        <w:t xml:space="preserve">Program Peningkatan Kapasitas Sumber Daya Aparatur </w:t>
      </w:r>
    </w:p>
    <w:p w:rsidR="007335FD" w:rsidRDefault="00815898">
      <w:pPr>
        <w:autoSpaceDE w:val="0"/>
        <w:autoSpaceDN w:val="0"/>
        <w:adjustRightInd w:val="0"/>
        <w:spacing w:before="120" w:after="120" w:line="240" w:lineRule="auto"/>
        <w:ind w:leftChars="300" w:left="660"/>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37"/>
        </w:numPr>
        <w:tabs>
          <w:tab w:val="clear" w:pos="425"/>
        </w:tabs>
        <w:autoSpaceDE w:val="0"/>
        <w:autoSpaceDN w:val="0"/>
        <w:adjustRightInd w:val="0"/>
        <w:spacing w:before="120" w:after="120" w:line="240" w:lineRule="auto"/>
        <w:ind w:left="880" w:hanging="305"/>
        <w:jc w:val="both"/>
        <w:rPr>
          <w:rFonts w:ascii="Calibri" w:eastAsia="Batang" w:cs="Aparajita"/>
          <w:sz w:val="24"/>
          <w:szCs w:val="24"/>
        </w:rPr>
      </w:pPr>
      <w:r>
        <w:rPr>
          <w:rFonts w:ascii="Calibri" w:eastAsia="Batang" w:cs="Aparajita"/>
          <w:sz w:val="24"/>
          <w:szCs w:val="24"/>
        </w:rPr>
        <w:t>Bimbingan Teknis Implementasi Peraturan Perundang-Undangan</w:t>
      </w:r>
    </w:p>
    <w:p w:rsidR="007335FD" w:rsidRDefault="00815898">
      <w:pPr>
        <w:numPr>
          <w:ilvl w:val="0"/>
          <w:numId w:val="33"/>
        </w:numPr>
        <w:autoSpaceDE w:val="0"/>
        <w:autoSpaceDN w:val="0"/>
        <w:adjustRightInd w:val="0"/>
        <w:spacing w:before="120" w:after="120" w:line="240" w:lineRule="auto"/>
        <w:ind w:left="440"/>
        <w:jc w:val="both"/>
        <w:rPr>
          <w:rFonts w:ascii="Calibri" w:eastAsia="Batang" w:cs="Aparajita"/>
          <w:b/>
          <w:bCs/>
          <w:sz w:val="24"/>
          <w:szCs w:val="24"/>
        </w:rPr>
      </w:pPr>
      <w:r>
        <w:rPr>
          <w:rFonts w:ascii="Calibri" w:eastAsia="Batang" w:cs="Aparajita"/>
          <w:b/>
          <w:bCs/>
          <w:sz w:val="24"/>
          <w:szCs w:val="24"/>
        </w:rPr>
        <w:t>Program Peningkatan Pengembangan Sistem Pelaporan Capaian Kinerja dan Keuangan</w:t>
      </w:r>
    </w:p>
    <w:p w:rsidR="007335FD" w:rsidRDefault="00815898">
      <w:pPr>
        <w:autoSpaceDE w:val="0"/>
        <w:autoSpaceDN w:val="0"/>
        <w:adjustRightInd w:val="0"/>
        <w:spacing w:before="120" w:after="120" w:line="240" w:lineRule="auto"/>
        <w:ind w:leftChars="300" w:left="660"/>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38"/>
        </w:numPr>
        <w:tabs>
          <w:tab w:val="clear" w:pos="425"/>
        </w:tabs>
        <w:autoSpaceDE w:val="0"/>
        <w:autoSpaceDN w:val="0"/>
        <w:adjustRightInd w:val="0"/>
        <w:spacing w:before="120" w:after="120" w:line="240" w:lineRule="auto"/>
        <w:ind w:leftChars="300" w:left="895" w:hangingChars="98" w:hanging="235"/>
        <w:jc w:val="both"/>
        <w:rPr>
          <w:rFonts w:ascii="Calibri" w:eastAsia="Batang" w:cs="Aparajita"/>
          <w:sz w:val="24"/>
          <w:szCs w:val="24"/>
        </w:rPr>
      </w:pPr>
      <w:r>
        <w:rPr>
          <w:rFonts w:ascii="Calibri" w:eastAsia="Batang" w:cs="Aparajita"/>
          <w:sz w:val="24"/>
          <w:szCs w:val="24"/>
        </w:rPr>
        <w:t>Penyusunan Perencanaan dan Penganggaran SKPD</w:t>
      </w:r>
    </w:p>
    <w:p w:rsidR="007335FD" w:rsidRDefault="00815898">
      <w:pPr>
        <w:numPr>
          <w:ilvl w:val="0"/>
          <w:numId w:val="38"/>
        </w:numPr>
        <w:tabs>
          <w:tab w:val="clear" w:pos="425"/>
        </w:tabs>
        <w:autoSpaceDE w:val="0"/>
        <w:autoSpaceDN w:val="0"/>
        <w:adjustRightInd w:val="0"/>
        <w:spacing w:before="120" w:after="120" w:line="240" w:lineRule="auto"/>
        <w:ind w:leftChars="300" w:left="895" w:hangingChars="98" w:hanging="235"/>
        <w:jc w:val="both"/>
        <w:rPr>
          <w:rFonts w:ascii="Calibri" w:eastAsia="Batang" w:cs="Aparajita"/>
          <w:sz w:val="24"/>
          <w:szCs w:val="24"/>
        </w:rPr>
      </w:pPr>
      <w:r>
        <w:rPr>
          <w:rFonts w:ascii="Calibri" w:eastAsia="Batang" w:cs="Aparajita"/>
          <w:sz w:val="24"/>
          <w:szCs w:val="24"/>
        </w:rPr>
        <w:t>Penatausahaan Keuangan SKPD</w:t>
      </w:r>
    </w:p>
    <w:p w:rsidR="007335FD" w:rsidRDefault="00815898">
      <w:pPr>
        <w:numPr>
          <w:ilvl w:val="0"/>
          <w:numId w:val="38"/>
        </w:numPr>
        <w:tabs>
          <w:tab w:val="clear" w:pos="425"/>
        </w:tabs>
        <w:autoSpaceDE w:val="0"/>
        <w:autoSpaceDN w:val="0"/>
        <w:adjustRightInd w:val="0"/>
        <w:spacing w:before="120" w:after="120" w:line="240" w:lineRule="auto"/>
        <w:ind w:leftChars="300" w:left="895" w:hangingChars="98" w:hanging="235"/>
        <w:jc w:val="both"/>
        <w:rPr>
          <w:rFonts w:ascii="Calibri" w:eastAsia="Batang" w:cs="Aparajita"/>
          <w:sz w:val="24"/>
          <w:szCs w:val="24"/>
        </w:rPr>
      </w:pPr>
      <w:r>
        <w:rPr>
          <w:rFonts w:ascii="Calibri" w:eastAsia="Batang" w:cs="Aparajita"/>
          <w:sz w:val="24"/>
          <w:szCs w:val="24"/>
        </w:rPr>
        <w:t>Penyusunan Laporan Capaian Kinerja dan Ikhtisar Realisasi Kinerja SKPD</w:t>
      </w:r>
    </w:p>
    <w:p w:rsidR="007335FD" w:rsidRDefault="007335FD">
      <w:pPr>
        <w:autoSpaceDE w:val="0"/>
        <w:autoSpaceDN w:val="0"/>
        <w:adjustRightInd w:val="0"/>
        <w:spacing w:after="0" w:line="360" w:lineRule="auto"/>
        <w:ind w:leftChars="300" w:left="895" w:hangingChars="98" w:hanging="235"/>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7335FD">
      <w:pPr>
        <w:autoSpaceDE w:val="0"/>
        <w:autoSpaceDN w:val="0"/>
        <w:adjustRightInd w:val="0"/>
        <w:spacing w:after="0" w:line="360" w:lineRule="auto"/>
        <w:ind w:leftChars="200" w:left="440" w:firstLine="720"/>
        <w:jc w:val="both"/>
        <w:rPr>
          <w:rFonts w:cs="Cambria"/>
          <w:sz w:val="24"/>
          <w:szCs w:val="24"/>
        </w:rPr>
      </w:pPr>
    </w:p>
    <w:p w:rsidR="007335FD" w:rsidRDefault="00815898">
      <w:pPr>
        <w:tabs>
          <w:tab w:val="left" w:pos="1100"/>
        </w:tabs>
        <w:autoSpaceDE w:val="0"/>
        <w:autoSpaceDN w:val="0"/>
        <w:adjustRightInd w:val="0"/>
        <w:spacing w:after="0" w:line="240" w:lineRule="auto"/>
        <w:ind w:leftChars="199" w:left="1534" w:hangingChars="455" w:hanging="1096"/>
        <w:jc w:val="both"/>
        <w:rPr>
          <w:rFonts w:ascii="Segoe UI Black" w:hAnsi="Segoe UI Black" w:cs="Segoe UI Black"/>
          <w:b/>
          <w:sz w:val="24"/>
          <w:szCs w:val="24"/>
          <w:lang w:val="sv-SE"/>
        </w:rPr>
      </w:pPr>
      <w:r>
        <w:rPr>
          <w:rFonts w:ascii="Segoe UI Black" w:hAnsi="Segoe UI Black" w:cs="Segoe UI Black"/>
          <w:b/>
          <w:sz w:val="24"/>
          <w:szCs w:val="24"/>
          <w:lang w:val="sv-SE"/>
        </w:rPr>
        <w:lastRenderedPageBreak/>
        <w:t>MISI II</w:t>
      </w:r>
      <w:r>
        <w:rPr>
          <w:rFonts w:ascii="Segoe UI Black" w:hAnsi="Segoe UI Black" w:cs="Segoe UI Black"/>
          <w:b/>
          <w:sz w:val="24"/>
          <w:szCs w:val="24"/>
        </w:rPr>
        <w:t xml:space="preserve"> </w:t>
      </w:r>
      <w:r>
        <w:rPr>
          <w:rFonts w:ascii="Segoe UI Black" w:hAnsi="Segoe UI Black" w:cs="Segoe UI Black"/>
          <w:b/>
          <w:sz w:val="24"/>
          <w:szCs w:val="24"/>
          <w:lang w:val="sv-SE"/>
        </w:rPr>
        <w:t>MEWUJUDKAN STABILITAS MASYARAKAT YANG KONDUSIF UNTUK</w:t>
      </w:r>
      <w:r>
        <w:rPr>
          <w:rFonts w:ascii="Segoe UI Black" w:hAnsi="Segoe UI Black" w:cs="Segoe UI Black"/>
          <w:b/>
          <w:sz w:val="24"/>
          <w:szCs w:val="24"/>
        </w:rPr>
        <w:t xml:space="preserve"> </w:t>
      </w:r>
      <w:r>
        <w:rPr>
          <w:rFonts w:ascii="Segoe UI Black" w:hAnsi="Segoe UI Black" w:cs="Segoe UI Black"/>
          <w:b/>
          <w:sz w:val="24"/>
          <w:szCs w:val="24"/>
          <w:lang w:val="sv-SE"/>
        </w:rPr>
        <w:t>MENDUKUNG TERCIPTANYA KETAHANAN BANGSA DI SUMATERA BARAT</w:t>
      </w:r>
    </w:p>
    <w:p w:rsidR="007335FD" w:rsidRDefault="007335FD">
      <w:pPr>
        <w:autoSpaceDE w:val="0"/>
        <w:autoSpaceDN w:val="0"/>
        <w:adjustRightInd w:val="0"/>
        <w:spacing w:after="0" w:line="240" w:lineRule="auto"/>
        <w:ind w:left="851" w:hanging="851"/>
        <w:jc w:val="both"/>
        <w:rPr>
          <w:rFonts w:cs="Arial"/>
          <w:b/>
          <w:sz w:val="28"/>
          <w:szCs w:val="28"/>
        </w:rPr>
      </w:pPr>
    </w:p>
    <w:p w:rsidR="007335FD" w:rsidRDefault="00815898">
      <w:pPr>
        <w:autoSpaceDE w:val="0"/>
        <w:autoSpaceDN w:val="0"/>
        <w:adjustRightInd w:val="0"/>
        <w:spacing w:after="0" w:line="360" w:lineRule="auto"/>
        <w:ind w:leftChars="200" w:left="440" w:firstLine="660"/>
        <w:jc w:val="both"/>
        <w:rPr>
          <w:rFonts w:cs="Aparajita"/>
          <w:sz w:val="24"/>
          <w:szCs w:val="24"/>
        </w:rPr>
      </w:pPr>
      <w:proofErr w:type="gramStart"/>
      <w:r>
        <w:rPr>
          <w:rFonts w:cs="Aparajita"/>
          <w:sz w:val="24"/>
          <w:szCs w:val="24"/>
        </w:rPr>
        <w:t>Misi 2 Badan Kesbangpol Provinsi Sumatera Barat yaitu mewujudkan stabilitas masyarakat yang kondusif untuk mendukung terciptanya ketahanan bangsa di Sumatera Barat juga merupakan salah satu misi yang mendukung misi 1 RPJMD Provinsi Sumatera Barat tahun 2016-2021.</w:t>
      </w:r>
      <w:proofErr w:type="gramEnd"/>
      <w:r>
        <w:rPr>
          <w:rFonts w:cs="Aparajita"/>
          <w:sz w:val="24"/>
          <w:szCs w:val="24"/>
        </w:rPr>
        <w:t xml:space="preserve"> </w:t>
      </w:r>
    </w:p>
    <w:p w:rsidR="007335FD" w:rsidRDefault="00815898">
      <w:pPr>
        <w:autoSpaceDE w:val="0"/>
        <w:autoSpaceDN w:val="0"/>
        <w:adjustRightInd w:val="0"/>
        <w:spacing w:after="0" w:line="360" w:lineRule="auto"/>
        <w:ind w:leftChars="200" w:left="440" w:firstLine="660"/>
        <w:jc w:val="both"/>
        <w:rPr>
          <w:rFonts w:cs="Arial"/>
          <w:sz w:val="24"/>
          <w:szCs w:val="24"/>
        </w:rPr>
      </w:pPr>
      <w:r>
        <w:rPr>
          <w:rFonts w:cs="Aparajita"/>
          <w:sz w:val="24"/>
          <w:szCs w:val="24"/>
        </w:rPr>
        <w:t xml:space="preserve">Untuk mewujudkan misi tersebut di atas, ditetapkab tujuan dan sasaran strategis yang akan dicapai dari pelaksanaan program dan kegiatan </w:t>
      </w:r>
      <w:proofErr w:type="gramStart"/>
      <w:r>
        <w:rPr>
          <w:rFonts w:cs="Aparajita"/>
          <w:sz w:val="24"/>
          <w:szCs w:val="24"/>
        </w:rPr>
        <w:t>yaitu  :</w:t>
      </w:r>
      <w:proofErr w:type="gramEnd"/>
      <w:r>
        <w:rPr>
          <w:rFonts w:cs="Arial"/>
          <w:sz w:val="24"/>
          <w:szCs w:val="24"/>
        </w:rPr>
        <w:t xml:space="preserve"> </w:t>
      </w:r>
    </w:p>
    <w:tbl>
      <w:tblPr>
        <w:tblStyle w:val="TableGrid"/>
        <w:tblW w:w="8805" w:type="dxa"/>
        <w:tblInd w:w="440" w:type="dxa"/>
        <w:tblLayout w:type="fixed"/>
        <w:tblLook w:val="04A0" w:firstRow="1" w:lastRow="0" w:firstColumn="1" w:lastColumn="0" w:noHBand="0" w:noVBand="1"/>
      </w:tblPr>
      <w:tblGrid>
        <w:gridCol w:w="622"/>
        <w:gridCol w:w="3582"/>
        <w:gridCol w:w="4601"/>
      </w:tblGrid>
      <w:tr w:rsidR="007335FD">
        <w:tc>
          <w:tcPr>
            <w:tcW w:w="622"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No</w:t>
            </w:r>
          </w:p>
        </w:tc>
        <w:tc>
          <w:tcPr>
            <w:tcW w:w="3582"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Tujuan</w:t>
            </w:r>
          </w:p>
        </w:tc>
        <w:tc>
          <w:tcPr>
            <w:tcW w:w="4601"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Sasaran Strategis</w:t>
            </w:r>
          </w:p>
        </w:tc>
      </w:tr>
      <w:tr w:rsidR="007335FD">
        <w:tc>
          <w:tcPr>
            <w:tcW w:w="622"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1</w:t>
            </w:r>
          </w:p>
        </w:tc>
        <w:tc>
          <w:tcPr>
            <w:tcW w:w="3582" w:type="dxa"/>
            <w:shd w:val="clear" w:color="auto" w:fill="auto"/>
          </w:tcPr>
          <w:p w:rsidR="007335FD" w:rsidRDefault="00815898">
            <w:pPr>
              <w:pStyle w:val="NoSpacing"/>
              <w:rPr>
                <w:rFonts w:cs="Arial"/>
                <w:sz w:val="24"/>
                <w:szCs w:val="24"/>
              </w:rPr>
            </w:pPr>
            <w:r>
              <w:rPr>
                <w:color w:val="000000" w:themeColor="text1"/>
                <w:sz w:val="24"/>
                <w:szCs w:val="24"/>
              </w:rPr>
              <w:t>Terwujudnya stabiltas keamanan di Sumatera Barat</w:t>
            </w:r>
          </w:p>
        </w:tc>
        <w:tc>
          <w:tcPr>
            <w:tcW w:w="4601" w:type="dxa"/>
            <w:shd w:val="clear" w:color="auto" w:fill="auto"/>
          </w:tcPr>
          <w:p w:rsidR="007335FD" w:rsidRDefault="00815898">
            <w:pPr>
              <w:pStyle w:val="NoSpacing"/>
              <w:rPr>
                <w:color w:val="000000" w:themeColor="text1"/>
                <w:sz w:val="24"/>
                <w:szCs w:val="24"/>
              </w:rPr>
            </w:pPr>
            <w:r>
              <w:rPr>
                <w:color w:val="000000" w:themeColor="text1"/>
                <w:sz w:val="24"/>
                <w:szCs w:val="24"/>
              </w:rPr>
              <w:t>Meningkatnya keamanan, ketentraman dan ketertiban masyarakat</w:t>
            </w:r>
          </w:p>
          <w:p w:rsidR="007335FD" w:rsidRDefault="007335FD">
            <w:pPr>
              <w:pStyle w:val="NoSpacing"/>
              <w:rPr>
                <w:rFonts w:cs="Aparajita"/>
                <w:sz w:val="24"/>
                <w:szCs w:val="24"/>
              </w:rPr>
            </w:pPr>
          </w:p>
        </w:tc>
      </w:tr>
    </w:tbl>
    <w:p w:rsidR="007335FD" w:rsidRDefault="007335FD">
      <w:pPr>
        <w:autoSpaceDE w:val="0"/>
        <w:autoSpaceDN w:val="0"/>
        <w:adjustRightInd w:val="0"/>
        <w:spacing w:after="0" w:line="360" w:lineRule="auto"/>
        <w:ind w:firstLine="540"/>
        <w:jc w:val="both"/>
        <w:rPr>
          <w:rFonts w:cs="Aparajita"/>
          <w:sz w:val="24"/>
          <w:szCs w:val="24"/>
        </w:rPr>
      </w:pPr>
    </w:p>
    <w:p w:rsidR="007335FD" w:rsidRDefault="00815898">
      <w:pPr>
        <w:pStyle w:val="NoSpacing"/>
        <w:jc w:val="center"/>
        <w:rPr>
          <w:rFonts w:ascii="Segoe UI Black" w:hAnsi="Segoe UI Black" w:cs="Segoe UI Black"/>
          <w:sz w:val="40"/>
          <w:szCs w:val="40"/>
          <w:u w:val="single"/>
        </w:rPr>
      </w:pPr>
      <w:r>
        <w:rPr>
          <w:rFonts w:ascii="Segoe UI Black" w:hAnsi="Segoe UI Black" w:cs="Segoe UI Black"/>
          <w:sz w:val="40"/>
          <w:szCs w:val="40"/>
          <w:u w:val="single"/>
        </w:rPr>
        <w:t>SASARAN STRATEGIS II</w:t>
      </w:r>
    </w:p>
    <w:tbl>
      <w:tblPr>
        <w:tblStyle w:val="TableGrid"/>
        <w:tblpPr w:leftFromText="180" w:rightFromText="180" w:vertAnchor="text" w:horzAnchor="page" w:tblpX="1933" w:tblpY="379"/>
        <w:tblOverlap w:val="never"/>
        <w:tblW w:w="895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898"/>
        <w:gridCol w:w="6053"/>
      </w:tblGrid>
      <w:tr w:rsidR="007335FD">
        <w:trPr>
          <w:trHeight w:val="2600"/>
        </w:trPr>
        <w:tc>
          <w:tcPr>
            <w:tcW w:w="2898" w:type="dxa"/>
          </w:tcPr>
          <w:p w:rsidR="007335FD" w:rsidRDefault="00815898">
            <w:pPr>
              <w:autoSpaceDE w:val="0"/>
              <w:autoSpaceDN w:val="0"/>
              <w:adjustRightInd w:val="0"/>
              <w:spacing w:line="360" w:lineRule="auto"/>
              <w:rPr>
                <w:rFonts w:ascii="Aparajita" w:hAnsi="Aparajita" w:cs="Aparajita"/>
                <w:sz w:val="24"/>
                <w:szCs w:val="24"/>
              </w:rPr>
            </w:pPr>
            <w:r>
              <w:rPr>
                <w:rFonts w:cs="Arial"/>
                <w:noProof/>
                <w:sz w:val="24"/>
                <w:szCs w:val="24"/>
              </w:rPr>
              <w:drawing>
                <wp:anchor distT="0" distB="0" distL="114300" distR="114300" simplePos="0" relativeHeight="276917248" behindDoc="1" locked="0" layoutInCell="1" allowOverlap="1">
                  <wp:simplePos x="0" y="0"/>
                  <wp:positionH relativeFrom="column">
                    <wp:posOffset>1065530</wp:posOffset>
                  </wp:positionH>
                  <wp:positionV relativeFrom="paragraph">
                    <wp:posOffset>1064260</wp:posOffset>
                  </wp:positionV>
                  <wp:extent cx="714375" cy="746760"/>
                  <wp:effectExtent l="0" t="0" r="9525" b="2540"/>
                  <wp:wrapNone/>
                  <wp:docPr id="38" name="Picture 38" descr="D:\FILE 2017\PROGRAM\LAKIP\LAKIP 2017\Gambar\konflik sos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FILE 2017\PROGRAM\LAKIP\LAKIP 2017\Gambar\konflik sosial.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14375" cy="746760"/>
                          </a:xfrm>
                          <a:prstGeom prst="rect">
                            <a:avLst/>
                          </a:prstGeom>
                          <a:noFill/>
                          <a:ln>
                            <a:noFill/>
                          </a:ln>
                        </pic:spPr>
                      </pic:pic>
                    </a:graphicData>
                  </a:graphic>
                </wp:anchor>
              </w:drawing>
            </w:r>
            <w:r>
              <w:rPr>
                <w:rFonts w:cs="Arial"/>
                <w:noProof/>
                <w:sz w:val="24"/>
                <w:szCs w:val="24"/>
              </w:rPr>
              <w:drawing>
                <wp:anchor distT="0" distB="0" distL="114300" distR="114300" simplePos="0" relativeHeight="276916224" behindDoc="1" locked="0" layoutInCell="1" allowOverlap="1">
                  <wp:simplePos x="0" y="0"/>
                  <wp:positionH relativeFrom="column">
                    <wp:posOffset>-83185</wp:posOffset>
                  </wp:positionH>
                  <wp:positionV relativeFrom="paragraph">
                    <wp:posOffset>1033780</wp:posOffset>
                  </wp:positionV>
                  <wp:extent cx="1056005" cy="807720"/>
                  <wp:effectExtent l="0" t="0" r="10795" b="5080"/>
                  <wp:wrapNone/>
                  <wp:docPr id="37" name="Picture 37" descr="D:\FILE 2017\PROGRAM\LAKIP\LAKIP 2017\Gambar\stop S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FILE 2017\PROGRAM\LAKIP\LAKIP 2017\Gambar\stop SARA.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056005" cy="807720"/>
                          </a:xfrm>
                          <a:prstGeom prst="rect">
                            <a:avLst/>
                          </a:prstGeom>
                          <a:noFill/>
                          <a:ln>
                            <a:noFill/>
                          </a:ln>
                        </pic:spPr>
                      </pic:pic>
                    </a:graphicData>
                  </a:graphic>
                </wp:anchor>
              </w:drawing>
            </w:r>
            <w:r>
              <w:rPr>
                <w:rFonts w:cs="Arial"/>
                <w:noProof/>
                <w:sz w:val="24"/>
                <w:szCs w:val="24"/>
              </w:rPr>
              <w:drawing>
                <wp:anchor distT="0" distB="0" distL="114300" distR="114300" simplePos="0" relativeHeight="276915200" behindDoc="1" locked="0" layoutInCell="1" allowOverlap="1">
                  <wp:simplePos x="0" y="0"/>
                  <wp:positionH relativeFrom="column">
                    <wp:posOffset>-97155</wp:posOffset>
                  </wp:positionH>
                  <wp:positionV relativeFrom="paragraph">
                    <wp:posOffset>3810</wp:posOffset>
                  </wp:positionV>
                  <wp:extent cx="1877695" cy="1011555"/>
                  <wp:effectExtent l="0" t="0" r="1905" b="4445"/>
                  <wp:wrapNone/>
                  <wp:docPr id="31" name="Picture 31" descr="D:\FILE 2017\PROGRAM\LAKIP\LAKIP 2017\Gambar\stop maks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FILE 2017\PROGRAM\LAKIP\LAKIP 2017\Gambar\stop maksiat.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81258" cy="1013735"/>
                          </a:xfrm>
                          <a:prstGeom prst="rect">
                            <a:avLst/>
                          </a:prstGeom>
                          <a:noFill/>
                          <a:ln>
                            <a:noFill/>
                          </a:ln>
                        </pic:spPr>
                      </pic:pic>
                    </a:graphicData>
                  </a:graphic>
                </wp:anchor>
              </w:drawing>
            </w:r>
          </w:p>
        </w:tc>
        <w:tc>
          <w:tcPr>
            <w:tcW w:w="6053" w:type="dxa"/>
          </w:tcPr>
          <w:p w:rsidR="007335FD" w:rsidRDefault="00815898">
            <w:pPr>
              <w:autoSpaceDE w:val="0"/>
              <w:autoSpaceDN w:val="0"/>
              <w:adjustRightInd w:val="0"/>
              <w:spacing w:line="360" w:lineRule="auto"/>
              <w:jc w:val="center"/>
              <w:rPr>
                <w:rFonts w:ascii="Bernard MT Condensed" w:hAnsi="Bernard MT Condensed" w:cs="Aparajita"/>
                <w:sz w:val="36"/>
                <w:szCs w:val="36"/>
              </w:rPr>
            </w:pPr>
            <w:r>
              <w:rPr>
                <w:rFonts w:cs="Arial"/>
                <w:noProof/>
                <w:sz w:val="24"/>
                <w:szCs w:val="24"/>
              </w:rPr>
              <w:drawing>
                <wp:anchor distT="0" distB="0" distL="114300" distR="114300" simplePos="0" relativeHeight="276914176" behindDoc="1" locked="0" layoutInCell="1" allowOverlap="1">
                  <wp:simplePos x="0" y="0"/>
                  <wp:positionH relativeFrom="column">
                    <wp:posOffset>-56515</wp:posOffset>
                  </wp:positionH>
                  <wp:positionV relativeFrom="paragraph">
                    <wp:posOffset>-4445</wp:posOffset>
                  </wp:positionV>
                  <wp:extent cx="3823970" cy="1214755"/>
                  <wp:effectExtent l="0" t="0" r="11430" b="4445"/>
                  <wp:wrapNone/>
                  <wp:docPr id="30" name="Picture 30" descr="D:\FILE 2017\PROGRAM\LAKIP\LAKIP 2017\Gambar\kerukunan berag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FILE 2017\PROGRAM\LAKIP\LAKIP 2017\Gambar\kerukunan beragama.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823970" cy="1214755"/>
                          </a:xfrm>
                          <a:prstGeom prst="rect">
                            <a:avLst/>
                          </a:prstGeom>
                          <a:noFill/>
                          <a:ln>
                            <a:noFill/>
                          </a:ln>
                        </pic:spPr>
                      </pic:pic>
                    </a:graphicData>
                  </a:graphic>
                </wp:anchor>
              </w:drawing>
            </w:r>
          </w:p>
          <w:p w:rsidR="007335FD" w:rsidRDefault="007335FD">
            <w:pPr>
              <w:autoSpaceDE w:val="0"/>
              <w:autoSpaceDN w:val="0"/>
              <w:adjustRightInd w:val="0"/>
              <w:spacing w:line="360" w:lineRule="auto"/>
              <w:jc w:val="center"/>
              <w:rPr>
                <w:rFonts w:ascii="Bernard MT Condensed" w:hAnsi="Bernard MT Condensed" w:cs="Aparajita"/>
                <w:sz w:val="36"/>
                <w:szCs w:val="36"/>
              </w:rPr>
            </w:pPr>
          </w:p>
          <w:p w:rsidR="007335FD" w:rsidRDefault="00815898">
            <w:pPr>
              <w:pStyle w:val="NoSpacing"/>
              <w:jc w:val="center"/>
              <w:rPr>
                <w:rFonts w:ascii="Segoe UI Black" w:hAnsi="Segoe UI Black" w:cs="Segoe UI Black"/>
                <w:sz w:val="24"/>
                <w:szCs w:val="24"/>
              </w:rPr>
            </w:pPr>
            <w:r>
              <w:rPr>
                <w:rFonts w:ascii="Segoe UI Black" w:hAnsi="Segoe UI Black" w:cs="Segoe UI Black"/>
                <w:sz w:val="24"/>
                <w:szCs w:val="24"/>
              </w:rPr>
              <w:t>SASARAN STRATEGIS II</w:t>
            </w:r>
          </w:p>
          <w:p w:rsidR="007335FD" w:rsidRDefault="00815898">
            <w:pPr>
              <w:pStyle w:val="NoSpacing"/>
              <w:jc w:val="center"/>
              <w:rPr>
                <w:rFonts w:ascii="Aparajita" w:hAnsi="Aparajita" w:cs="Aparajita"/>
                <w:sz w:val="24"/>
                <w:szCs w:val="24"/>
              </w:rPr>
            </w:pPr>
            <w:r>
              <w:rPr>
                <w:rFonts w:ascii="Segoe UI Black" w:hAnsi="Segoe UI Black" w:cs="Segoe UI Black"/>
                <w:sz w:val="24"/>
                <w:szCs w:val="24"/>
                <w:lang w:val="sv-SE"/>
              </w:rPr>
              <w:t>Meningkatnya Keamanan, Ketentraman dan Ketertiban Masyarakat</w:t>
            </w:r>
            <w:r>
              <w:rPr>
                <w:rFonts w:ascii="Segoe UI Black" w:hAnsi="Segoe UI Black" w:cs="Segoe UI Black"/>
                <w:color w:val="FFFFFF" w:themeColor="background1"/>
                <w:sz w:val="24"/>
                <w:szCs w:val="24"/>
                <w:lang w:val="sv-SE"/>
              </w:rPr>
              <w:t xml:space="preserve"> .</w:t>
            </w:r>
          </w:p>
        </w:tc>
      </w:tr>
    </w:tbl>
    <w:p w:rsidR="007335FD" w:rsidRDefault="007335FD">
      <w:pPr>
        <w:pStyle w:val="NoSpacing"/>
        <w:jc w:val="center"/>
        <w:rPr>
          <w:rFonts w:ascii="Aparajita" w:hAnsi="Aparajita" w:cs="Aparajita"/>
          <w:sz w:val="24"/>
          <w:szCs w:val="24"/>
        </w:rPr>
      </w:pPr>
    </w:p>
    <w:p w:rsidR="007335FD" w:rsidRDefault="00815898">
      <w:pPr>
        <w:pStyle w:val="NoSpacing"/>
        <w:spacing w:line="360" w:lineRule="auto"/>
        <w:ind w:leftChars="200" w:left="440" w:firstLineChars="275" w:firstLine="660"/>
        <w:rPr>
          <w:color w:val="000000" w:themeColor="text1"/>
          <w:sz w:val="24"/>
          <w:szCs w:val="24"/>
        </w:rPr>
      </w:pPr>
      <w:proofErr w:type="gramStart"/>
      <w:r>
        <w:rPr>
          <w:rFonts w:cs="Arial"/>
          <w:sz w:val="24"/>
          <w:szCs w:val="24"/>
        </w:rPr>
        <w:t>Indikator kinerja yang ditetapkan untuk mengukur keberhasilan sasaran strategis meningkatnya keamanan, ketertiban dan ketentraman masyarakat adalah</w:t>
      </w:r>
      <w:r>
        <w:rPr>
          <w:color w:val="000000" w:themeColor="text1"/>
          <w:sz w:val="24"/>
          <w:szCs w:val="24"/>
        </w:rPr>
        <w:t xml:space="preserve"> persentase penurunan konflik sosial di Sumbar dan persentase penurunan angka kriminalitas di Sumbar.</w:t>
      </w:r>
      <w:proofErr w:type="gramEnd"/>
      <w:r>
        <w:rPr>
          <w:color w:val="000000" w:themeColor="text1"/>
          <w:sz w:val="24"/>
          <w:szCs w:val="24"/>
        </w:rPr>
        <w:t xml:space="preserve"> Realisasi dan capaian indikator kinerja tersebut tercantum pada tabel </w:t>
      </w:r>
      <w:proofErr w:type="gramStart"/>
      <w:r>
        <w:rPr>
          <w:color w:val="000000" w:themeColor="text1"/>
          <w:sz w:val="24"/>
          <w:szCs w:val="24"/>
        </w:rPr>
        <w:t>berikut ;</w:t>
      </w:r>
      <w:proofErr w:type="gramEnd"/>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Tabel 3.13</w:t>
      </w:r>
    </w:p>
    <w:p w:rsidR="007335FD" w:rsidRDefault="00815898">
      <w:pPr>
        <w:autoSpaceDE w:val="0"/>
        <w:autoSpaceDN w:val="0"/>
        <w:adjustRightInd w:val="0"/>
        <w:spacing w:after="0" w:line="360" w:lineRule="auto"/>
        <w:ind w:firstLine="720"/>
        <w:jc w:val="center"/>
        <w:rPr>
          <w:b/>
          <w:bCs/>
          <w:color w:val="000000" w:themeColor="text1"/>
          <w:sz w:val="24"/>
          <w:szCs w:val="24"/>
        </w:rPr>
      </w:pPr>
      <w:r>
        <w:rPr>
          <w:rFonts w:hAnsi="Berlin Sans FB Demi"/>
          <w:b/>
          <w:bCs/>
          <w:sz w:val="24"/>
          <w:szCs w:val="24"/>
        </w:rPr>
        <w:lastRenderedPageBreak/>
        <w:t>Capaian Kinerja Indikator Kinerja Sasaran Strategis II</w:t>
      </w:r>
    </w:p>
    <w:tbl>
      <w:tblPr>
        <w:tblStyle w:val="TableGrid"/>
        <w:tblW w:w="8979" w:type="dxa"/>
        <w:tblInd w:w="485" w:type="dxa"/>
        <w:tblLayout w:type="fixed"/>
        <w:tblLook w:val="04A0" w:firstRow="1" w:lastRow="0" w:firstColumn="1" w:lastColumn="0" w:noHBand="0" w:noVBand="1"/>
      </w:tblPr>
      <w:tblGrid>
        <w:gridCol w:w="511"/>
        <w:gridCol w:w="2243"/>
        <w:gridCol w:w="1493"/>
        <w:gridCol w:w="1495"/>
        <w:gridCol w:w="1516"/>
        <w:gridCol w:w="1721"/>
      </w:tblGrid>
      <w:tr w:rsidR="007335FD">
        <w:tc>
          <w:tcPr>
            <w:tcW w:w="511" w:type="dxa"/>
            <w:tcBorders>
              <w:bottom w:val="single" w:sz="4" w:space="0" w:color="auto"/>
            </w:tcBorders>
            <w:shd w:val="clear" w:color="auto" w:fill="C00000"/>
          </w:tcPr>
          <w:p w:rsidR="007335FD" w:rsidRDefault="00815898">
            <w:pPr>
              <w:pStyle w:val="NoSpacing"/>
              <w:rPr>
                <w:sz w:val="24"/>
                <w:szCs w:val="24"/>
              </w:rPr>
            </w:pPr>
            <w:r>
              <w:rPr>
                <w:sz w:val="24"/>
                <w:szCs w:val="24"/>
              </w:rPr>
              <w:t>No</w:t>
            </w:r>
          </w:p>
        </w:tc>
        <w:tc>
          <w:tcPr>
            <w:tcW w:w="2243" w:type="dxa"/>
            <w:tcBorders>
              <w:bottom w:val="single" w:sz="4" w:space="0" w:color="auto"/>
            </w:tcBorders>
            <w:shd w:val="clear" w:color="auto" w:fill="C00000"/>
          </w:tcPr>
          <w:p w:rsidR="007335FD" w:rsidRDefault="00815898">
            <w:pPr>
              <w:pStyle w:val="NoSpacing"/>
              <w:rPr>
                <w:sz w:val="24"/>
                <w:szCs w:val="24"/>
              </w:rPr>
            </w:pPr>
            <w:r>
              <w:rPr>
                <w:sz w:val="24"/>
                <w:szCs w:val="24"/>
              </w:rPr>
              <w:t>INDIKATOR KINERJA</w:t>
            </w:r>
          </w:p>
        </w:tc>
        <w:tc>
          <w:tcPr>
            <w:tcW w:w="1493" w:type="dxa"/>
            <w:tcBorders>
              <w:bottom w:val="single" w:sz="4" w:space="0" w:color="auto"/>
            </w:tcBorders>
            <w:shd w:val="clear" w:color="auto" w:fill="C00000"/>
          </w:tcPr>
          <w:p w:rsidR="007335FD" w:rsidRDefault="00815898">
            <w:pPr>
              <w:pStyle w:val="NoSpacing"/>
              <w:jc w:val="center"/>
              <w:rPr>
                <w:sz w:val="24"/>
                <w:szCs w:val="24"/>
              </w:rPr>
            </w:pPr>
            <w:r>
              <w:rPr>
                <w:sz w:val="24"/>
                <w:szCs w:val="24"/>
              </w:rPr>
              <w:t>SATUAN</w:t>
            </w:r>
          </w:p>
        </w:tc>
        <w:tc>
          <w:tcPr>
            <w:tcW w:w="1495" w:type="dxa"/>
            <w:tcBorders>
              <w:bottom w:val="single" w:sz="4" w:space="0" w:color="auto"/>
            </w:tcBorders>
            <w:shd w:val="clear" w:color="auto" w:fill="C00000"/>
          </w:tcPr>
          <w:p w:rsidR="007335FD" w:rsidRDefault="00815898">
            <w:pPr>
              <w:pStyle w:val="NoSpacing"/>
              <w:jc w:val="center"/>
              <w:rPr>
                <w:sz w:val="24"/>
                <w:szCs w:val="24"/>
              </w:rPr>
            </w:pPr>
            <w:r>
              <w:rPr>
                <w:sz w:val="24"/>
                <w:szCs w:val="24"/>
              </w:rPr>
              <w:t>TARGET</w:t>
            </w:r>
          </w:p>
        </w:tc>
        <w:tc>
          <w:tcPr>
            <w:tcW w:w="1516" w:type="dxa"/>
            <w:tcBorders>
              <w:bottom w:val="single" w:sz="4" w:space="0" w:color="auto"/>
            </w:tcBorders>
            <w:shd w:val="clear" w:color="auto" w:fill="C00000"/>
          </w:tcPr>
          <w:p w:rsidR="007335FD" w:rsidRDefault="00815898">
            <w:pPr>
              <w:pStyle w:val="NoSpacing"/>
              <w:jc w:val="center"/>
              <w:rPr>
                <w:sz w:val="24"/>
                <w:szCs w:val="24"/>
              </w:rPr>
            </w:pPr>
            <w:r>
              <w:rPr>
                <w:sz w:val="24"/>
                <w:szCs w:val="24"/>
              </w:rPr>
              <w:t>REALISASI</w:t>
            </w:r>
          </w:p>
        </w:tc>
        <w:tc>
          <w:tcPr>
            <w:tcW w:w="1721" w:type="dxa"/>
            <w:tcBorders>
              <w:bottom w:val="single" w:sz="4" w:space="0" w:color="auto"/>
            </w:tcBorders>
            <w:shd w:val="clear" w:color="auto" w:fill="C00000"/>
          </w:tcPr>
          <w:p w:rsidR="007335FD" w:rsidRDefault="00815898">
            <w:pPr>
              <w:pStyle w:val="NoSpacing"/>
              <w:jc w:val="center"/>
              <w:rPr>
                <w:sz w:val="24"/>
                <w:szCs w:val="24"/>
              </w:rPr>
            </w:pPr>
            <w:r>
              <w:rPr>
                <w:sz w:val="24"/>
                <w:szCs w:val="24"/>
              </w:rPr>
              <w:t>% CAPAIAN</w:t>
            </w:r>
          </w:p>
        </w:tc>
      </w:tr>
      <w:tr w:rsidR="007335FD">
        <w:trPr>
          <w:trHeight w:val="1972"/>
        </w:trPr>
        <w:tc>
          <w:tcPr>
            <w:tcW w:w="511" w:type="dxa"/>
            <w:shd w:val="clear" w:color="auto" w:fill="auto"/>
          </w:tcPr>
          <w:p w:rsidR="007335FD" w:rsidRDefault="00815898">
            <w:pPr>
              <w:pStyle w:val="NoSpacing"/>
              <w:jc w:val="center"/>
              <w:rPr>
                <w:sz w:val="24"/>
                <w:szCs w:val="24"/>
              </w:rPr>
            </w:pPr>
            <w:r>
              <w:rPr>
                <w:sz w:val="24"/>
                <w:szCs w:val="24"/>
              </w:rPr>
              <w:t>1</w:t>
            </w:r>
          </w:p>
          <w:p w:rsidR="007335FD" w:rsidRDefault="007335FD">
            <w:pPr>
              <w:pStyle w:val="NoSpacing"/>
              <w:jc w:val="center"/>
              <w:rPr>
                <w:sz w:val="24"/>
                <w:szCs w:val="24"/>
              </w:rPr>
            </w:pP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2</w:t>
            </w:r>
          </w:p>
          <w:p w:rsidR="007335FD" w:rsidRDefault="007335FD">
            <w:pPr>
              <w:pStyle w:val="NoSpacing"/>
              <w:rPr>
                <w:sz w:val="24"/>
                <w:szCs w:val="24"/>
              </w:rPr>
            </w:pPr>
          </w:p>
        </w:tc>
        <w:tc>
          <w:tcPr>
            <w:tcW w:w="2243"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Persentase penurunan konflik sosial di Sumbar</w:t>
            </w:r>
          </w:p>
          <w:p w:rsidR="007335FD" w:rsidRDefault="00815898">
            <w:pPr>
              <w:pStyle w:val="NoSpacing"/>
              <w:jc w:val="left"/>
              <w:rPr>
                <w:color w:val="000000" w:themeColor="text1"/>
                <w:sz w:val="24"/>
                <w:szCs w:val="24"/>
              </w:rPr>
            </w:pPr>
            <w:r>
              <w:rPr>
                <w:color w:val="000000" w:themeColor="text1"/>
                <w:sz w:val="24"/>
                <w:szCs w:val="24"/>
              </w:rPr>
              <w:t>Persentase penurunan angka kriminalitas di Sumbar</w:t>
            </w:r>
          </w:p>
          <w:p w:rsidR="007335FD" w:rsidRDefault="007335FD">
            <w:pPr>
              <w:pStyle w:val="NoSpacing"/>
              <w:rPr>
                <w:sz w:val="24"/>
                <w:szCs w:val="24"/>
              </w:rPr>
            </w:pPr>
          </w:p>
        </w:tc>
        <w:tc>
          <w:tcPr>
            <w:tcW w:w="1493" w:type="dxa"/>
            <w:shd w:val="clear" w:color="auto" w:fill="auto"/>
          </w:tcPr>
          <w:p w:rsidR="007335FD" w:rsidRDefault="00815898">
            <w:pPr>
              <w:pStyle w:val="NoSpacing"/>
              <w:jc w:val="center"/>
              <w:rPr>
                <w:sz w:val="24"/>
                <w:szCs w:val="24"/>
              </w:rPr>
            </w:pPr>
            <w:r>
              <w:rPr>
                <w:sz w:val="24"/>
                <w:szCs w:val="24"/>
              </w:rPr>
              <w:t>%</w:t>
            </w:r>
          </w:p>
          <w:p w:rsidR="007335FD" w:rsidRDefault="007335FD">
            <w:pPr>
              <w:pStyle w:val="NoSpacing"/>
              <w:jc w:val="center"/>
              <w:rPr>
                <w:sz w:val="24"/>
                <w:szCs w:val="24"/>
              </w:rPr>
            </w:pP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w:t>
            </w:r>
          </w:p>
          <w:p w:rsidR="007335FD" w:rsidRDefault="007335FD">
            <w:pPr>
              <w:pStyle w:val="NoSpacing"/>
              <w:rPr>
                <w:sz w:val="24"/>
                <w:szCs w:val="24"/>
              </w:rPr>
            </w:pPr>
          </w:p>
        </w:tc>
        <w:tc>
          <w:tcPr>
            <w:tcW w:w="1495" w:type="dxa"/>
            <w:shd w:val="clear" w:color="auto" w:fill="auto"/>
          </w:tcPr>
          <w:p w:rsidR="007335FD" w:rsidRDefault="00815898">
            <w:pPr>
              <w:pStyle w:val="NoSpacing"/>
              <w:jc w:val="center"/>
              <w:rPr>
                <w:sz w:val="24"/>
                <w:szCs w:val="24"/>
              </w:rPr>
            </w:pPr>
            <w:r>
              <w:rPr>
                <w:sz w:val="24"/>
                <w:szCs w:val="24"/>
              </w:rPr>
              <w:t>5%</w:t>
            </w:r>
          </w:p>
          <w:p w:rsidR="007335FD" w:rsidRDefault="007335FD">
            <w:pPr>
              <w:pStyle w:val="NoSpacing"/>
              <w:jc w:val="center"/>
              <w:rPr>
                <w:sz w:val="24"/>
                <w:szCs w:val="24"/>
              </w:rPr>
            </w:pP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5%</w:t>
            </w:r>
          </w:p>
        </w:tc>
        <w:tc>
          <w:tcPr>
            <w:tcW w:w="1516" w:type="dxa"/>
            <w:shd w:val="clear" w:color="auto" w:fill="auto"/>
          </w:tcPr>
          <w:p w:rsidR="007335FD" w:rsidRDefault="00815898">
            <w:pPr>
              <w:pStyle w:val="NoSpacing"/>
              <w:jc w:val="center"/>
              <w:rPr>
                <w:sz w:val="24"/>
                <w:szCs w:val="24"/>
              </w:rPr>
            </w:pPr>
            <w:r>
              <w:rPr>
                <w:sz w:val="24"/>
                <w:szCs w:val="24"/>
              </w:rPr>
              <w:t>33%</w:t>
            </w:r>
          </w:p>
          <w:p w:rsidR="007335FD" w:rsidRDefault="007335FD">
            <w:pPr>
              <w:pStyle w:val="NoSpacing"/>
              <w:jc w:val="center"/>
              <w:rPr>
                <w:sz w:val="24"/>
                <w:szCs w:val="24"/>
              </w:rPr>
            </w:pP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15,85%</w:t>
            </w:r>
          </w:p>
        </w:tc>
        <w:tc>
          <w:tcPr>
            <w:tcW w:w="1721" w:type="dxa"/>
            <w:shd w:val="clear" w:color="auto" w:fill="auto"/>
          </w:tcPr>
          <w:p w:rsidR="007335FD" w:rsidRDefault="00815898">
            <w:pPr>
              <w:pStyle w:val="NoSpacing"/>
              <w:jc w:val="center"/>
              <w:rPr>
                <w:sz w:val="24"/>
                <w:szCs w:val="24"/>
              </w:rPr>
            </w:pPr>
            <w:r>
              <w:rPr>
                <w:sz w:val="24"/>
                <w:szCs w:val="24"/>
              </w:rPr>
              <w:t>660%</w:t>
            </w:r>
          </w:p>
          <w:p w:rsidR="007335FD" w:rsidRDefault="007335FD">
            <w:pPr>
              <w:pStyle w:val="NoSpacing"/>
              <w:jc w:val="center"/>
              <w:rPr>
                <w:sz w:val="24"/>
                <w:szCs w:val="24"/>
              </w:rPr>
            </w:pPr>
          </w:p>
          <w:p w:rsidR="007335FD" w:rsidRDefault="007335FD">
            <w:pPr>
              <w:pStyle w:val="NoSpacing"/>
              <w:jc w:val="center"/>
              <w:rPr>
                <w:sz w:val="24"/>
                <w:szCs w:val="24"/>
              </w:rPr>
            </w:pPr>
          </w:p>
          <w:p w:rsidR="007335FD" w:rsidRDefault="00815898">
            <w:pPr>
              <w:pStyle w:val="NoSpacing"/>
              <w:jc w:val="center"/>
              <w:rPr>
                <w:sz w:val="24"/>
                <w:szCs w:val="24"/>
              </w:rPr>
            </w:pPr>
            <w:r>
              <w:rPr>
                <w:sz w:val="24"/>
                <w:szCs w:val="24"/>
              </w:rPr>
              <w:t>317%</w:t>
            </w:r>
          </w:p>
        </w:tc>
      </w:tr>
    </w:tbl>
    <w:p w:rsidR="007335FD" w:rsidRDefault="007335FD">
      <w:pPr>
        <w:pStyle w:val="NoSpacing"/>
        <w:spacing w:line="360" w:lineRule="auto"/>
        <w:rPr>
          <w:color w:val="0D0D0D" w:themeColor="text1" w:themeTint="F2"/>
          <w:sz w:val="24"/>
          <w:szCs w:val="24"/>
        </w:rPr>
      </w:pPr>
    </w:p>
    <w:p w:rsidR="007335FD" w:rsidRDefault="00851EC5">
      <w:pPr>
        <w:pStyle w:val="NoSpacing"/>
        <w:spacing w:line="360" w:lineRule="auto"/>
        <w:rPr>
          <w:color w:val="0D0D0D" w:themeColor="text1" w:themeTint="F2"/>
          <w:sz w:val="24"/>
          <w:szCs w:val="24"/>
        </w:rPr>
      </w:pPr>
      <w:r>
        <w:rPr>
          <w:color w:val="0D0D0D" w:themeColor="text1" w:themeTint="F2"/>
          <w:sz w:val="24"/>
          <w:szCs w:val="24"/>
          <w:lang w:bidi="ar-SA"/>
        </w:rPr>
        <w:pict>
          <v:roundrect id="_x0000_s1058" style="position:absolute;left:0;text-align:left;margin-left:-4.55pt;margin-top:13.1pt;width:464.9pt;height:35.1pt;z-index:251714560;mso-width-relative:page;mso-height-relative:page" arcsize="10923f" fillcolor="#c00000" strokecolor="#f2f2f2" strokeweight="3pt">
            <v:shadow on="t" type="perspective" color="#4f6228" opacity=".5" offset="1pt" offset2="-1pt,-2pt"/>
            <v:textbox>
              <w:txbxContent>
                <w:p w:rsidR="00815898" w:rsidRDefault="00815898">
                  <w:pPr>
                    <w:rPr>
                      <w:b/>
                      <w:sz w:val="28"/>
                      <w:szCs w:val="28"/>
                    </w:rPr>
                  </w:pPr>
                  <w:r>
                    <w:rPr>
                      <w:b/>
                      <w:sz w:val="28"/>
                      <w:szCs w:val="28"/>
                    </w:rPr>
                    <w:t>2. 1 Persentase Penurunan Konflik Sosial di Sumbar</w:t>
                  </w:r>
                </w:p>
              </w:txbxContent>
            </v:textbox>
          </v:roundrect>
        </w:pict>
      </w:r>
    </w:p>
    <w:p w:rsidR="007335FD" w:rsidRDefault="007335FD">
      <w:pPr>
        <w:pStyle w:val="NoSpacing"/>
        <w:spacing w:line="360" w:lineRule="auto"/>
        <w:rPr>
          <w:color w:val="0D0D0D" w:themeColor="text1" w:themeTint="F2"/>
          <w:sz w:val="24"/>
          <w:szCs w:val="24"/>
        </w:rPr>
      </w:pPr>
    </w:p>
    <w:p w:rsidR="007335FD" w:rsidRDefault="007335FD">
      <w:pPr>
        <w:autoSpaceDE w:val="0"/>
        <w:autoSpaceDN w:val="0"/>
        <w:adjustRightInd w:val="0"/>
        <w:spacing w:after="0" w:line="240" w:lineRule="auto"/>
        <w:ind w:firstLine="426"/>
        <w:rPr>
          <w:rFonts w:ascii="Arial" w:hAnsi="Arial" w:cs="Arial"/>
        </w:rPr>
      </w:pPr>
    </w:p>
    <w:p w:rsidR="007335FD" w:rsidRDefault="007335FD">
      <w:pPr>
        <w:autoSpaceDE w:val="0"/>
        <w:autoSpaceDN w:val="0"/>
        <w:adjustRightInd w:val="0"/>
        <w:spacing w:after="0" w:line="240" w:lineRule="auto"/>
        <w:ind w:firstLine="426"/>
        <w:rPr>
          <w:rFonts w:cs="Aparajita"/>
          <w:sz w:val="24"/>
          <w:szCs w:val="24"/>
        </w:rPr>
      </w:pPr>
    </w:p>
    <w:p w:rsidR="007335FD" w:rsidRDefault="00815898">
      <w:pPr>
        <w:autoSpaceDE w:val="0"/>
        <w:autoSpaceDN w:val="0"/>
        <w:adjustRightInd w:val="0"/>
        <w:spacing w:after="0" w:line="360" w:lineRule="auto"/>
        <w:ind w:leftChars="200" w:left="440" w:firstLine="660"/>
        <w:jc w:val="both"/>
        <w:rPr>
          <w:rFonts w:hAnsi="Arial Narrow" w:cs="Arial"/>
          <w:sz w:val="24"/>
          <w:szCs w:val="24"/>
          <w:lang w:val="sv-SE"/>
        </w:rPr>
      </w:pPr>
      <w:r>
        <w:rPr>
          <w:rFonts w:hAnsi="Arial Narrow" w:cs="Arial"/>
          <w:sz w:val="24"/>
          <w:szCs w:val="24"/>
          <w:lang w:val="sv-SE"/>
        </w:rPr>
        <w:t>Berdasarkan Undang-undang Nomor 7 Tahun 2012 tentang Penanganan Konflik Sosial, menyatakan konflik adalah perseteruan dan/atau benturan fisik dengan kekerasan antara dua kelompok atau lebih yang berlangsung dalam waktu tertentu dan berdampak luas yang mengakibatkan ketidakamanan dan disintegrasi sosial sehingga mengganggu stabilitas nasional dan menghambat pembangunan nasional. Penanganan konflik adalah serangkaian kegiatan yang dilakukan secara sistematis dan terencana dalam situasi dan peristiwa baik sebelum, pada saat, maupun sesudah terjadi konflik yang mencakup pencegahan konflik, penghentian konflik, dan pemulihan pasca konflik.</w:t>
      </w:r>
    </w:p>
    <w:p w:rsidR="007335FD" w:rsidRDefault="00815898">
      <w:pPr>
        <w:autoSpaceDE w:val="0"/>
        <w:autoSpaceDN w:val="0"/>
        <w:adjustRightInd w:val="0"/>
        <w:spacing w:after="0" w:line="360" w:lineRule="auto"/>
        <w:ind w:leftChars="200" w:left="440" w:firstLine="660"/>
        <w:jc w:val="both"/>
        <w:rPr>
          <w:rFonts w:ascii="Arial Narrow" w:hAnsi="Arial Narrow" w:cs="Times New Roman"/>
          <w:sz w:val="24"/>
          <w:szCs w:val="24"/>
        </w:rPr>
      </w:pPr>
      <w:proofErr w:type="gramStart"/>
      <w:r>
        <w:rPr>
          <w:rFonts w:hAnsi="Arial Narrow" w:cs="Times New Roman"/>
          <w:sz w:val="24"/>
          <w:szCs w:val="24"/>
        </w:rPr>
        <w:t>Konflik Sosial dipicu oleh berbagai hal diantaranya perbedaan persepsi masalah politik, kesenjangan ekonomi, sumberdaya alam dan lingkungan, SARA dan isu lainnya.</w:t>
      </w:r>
      <w:proofErr w:type="gramEnd"/>
      <w:r>
        <w:rPr>
          <w:rFonts w:hAnsi="Arial Narrow" w:cs="Times New Roman"/>
          <w:sz w:val="24"/>
          <w:szCs w:val="24"/>
        </w:rPr>
        <w:t xml:space="preserve"> </w:t>
      </w:r>
      <w:proofErr w:type="gramStart"/>
      <w:r>
        <w:rPr>
          <w:rFonts w:hAnsi="Arial Narrow" w:cs="Times New Roman"/>
          <w:sz w:val="24"/>
          <w:szCs w:val="24"/>
        </w:rPr>
        <w:t xml:space="preserve">Dengan semakin tingginya potensi konflik yang terjadi saat ini, perlu adanya langkah </w:t>
      </w:r>
      <w:r>
        <w:rPr>
          <w:rFonts w:hAnsi="Arial Narrow" w:cs="Times New Roman"/>
          <w:sz w:val="24"/>
          <w:szCs w:val="24"/>
        </w:rPr>
        <w:t>–</w:t>
      </w:r>
      <w:r>
        <w:rPr>
          <w:rFonts w:hAnsi="Arial Narrow" w:cs="Times New Roman"/>
          <w:sz w:val="24"/>
          <w:szCs w:val="24"/>
        </w:rPr>
        <w:t xml:space="preserve"> langkah kongkrit untuk meminimalisir meluasnya konflik tersebut.</w:t>
      </w:r>
      <w:proofErr w:type="gramEnd"/>
      <w:r>
        <w:rPr>
          <w:rFonts w:hAnsi="Arial Narrow" w:cs="Times New Roman"/>
          <w:sz w:val="24"/>
          <w:szCs w:val="24"/>
        </w:rPr>
        <w:t xml:space="preserve"> Oleh karena itu salah satu upaya yang sangat penting untuk dilakukan </w:t>
      </w:r>
      <w:proofErr w:type="gramStart"/>
      <w:r>
        <w:rPr>
          <w:rFonts w:hAnsi="Arial Narrow" w:cs="Times New Roman"/>
          <w:sz w:val="24"/>
          <w:szCs w:val="24"/>
        </w:rPr>
        <w:t>adalah  pemetaan</w:t>
      </w:r>
      <w:proofErr w:type="gramEnd"/>
      <w:r>
        <w:rPr>
          <w:rFonts w:hAnsi="Arial Narrow" w:cs="Times New Roman"/>
          <w:sz w:val="24"/>
          <w:szCs w:val="24"/>
        </w:rPr>
        <w:t xml:space="preserve"> konflik sosial.</w:t>
      </w:r>
      <w:r>
        <w:rPr>
          <w:rFonts w:ascii="Arial Narrow" w:hAnsi="Arial Narrow" w:cs="Times New Roman"/>
          <w:sz w:val="24"/>
          <w:szCs w:val="24"/>
        </w:rPr>
        <w:t xml:space="preserve"> </w:t>
      </w:r>
    </w:p>
    <w:p w:rsidR="007335FD" w:rsidRDefault="00815898">
      <w:pPr>
        <w:autoSpaceDE w:val="0"/>
        <w:autoSpaceDN w:val="0"/>
        <w:adjustRightInd w:val="0"/>
        <w:spacing w:after="0" w:line="360" w:lineRule="auto"/>
        <w:ind w:leftChars="200" w:left="440" w:firstLine="660"/>
        <w:jc w:val="both"/>
        <w:rPr>
          <w:rFonts w:ascii="Calibri" w:eastAsia="Batang" w:hAnsi="Aparajita" w:cs="Aparajita"/>
          <w:sz w:val="24"/>
          <w:szCs w:val="24"/>
        </w:rPr>
      </w:pPr>
      <w:proofErr w:type="gramStart"/>
      <w:r>
        <w:rPr>
          <w:rFonts w:ascii="Calibri" w:eastAsia="Batang" w:hAnsi="Aparajita" w:cs="Aparajita"/>
          <w:sz w:val="24"/>
          <w:szCs w:val="24"/>
        </w:rPr>
        <w:t>Pemetaan konflik merupakan salah satu teknik dari sederetan teknik dan alat dalam menganalisa dan memecahkan konflik.</w:t>
      </w:r>
      <w:proofErr w:type="gramEnd"/>
      <w:r>
        <w:rPr>
          <w:rFonts w:ascii="Calibri" w:eastAsia="Batang" w:hAnsi="Aparajita" w:cs="Aparajita"/>
          <w:sz w:val="24"/>
          <w:szCs w:val="24"/>
        </w:rPr>
        <w:t xml:space="preserve"> Melalui pemetaan konflik maka dapat diketahui secara lebih mudah dan akurat hal-hal sebagai </w:t>
      </w:r>
      <w:proofErr w:type="gramStart"/>
      <w:r>
        <w:rPr>
          <w:rFonts w:ascii="Calibri" w:eastAsia="Batang" w:hAnsi="Aparajita" w:cs="Aparajita"/>
          <w:sz w:val="24"/>
          <w:szCs w:val="24"/>
        </w:rPr>
        <w:t>berikut :</w:t>
      </w:r>
      <w:proofErr w:type="gramEnd"/>
    </w:p>
    <w:p w:rsidR="007335FD" w:rsidRDefault="00815898">
      <w:pPr>
        <w:pStyle w:val="NoSpacing"/>
        <w:numPr>
          <w:ilvl w:val="0"/>
          <w:numId w:val="39"/>
        </w:numPr>
        <w:spacing w:line="360" w:lineRule="auto"/>
        <w:ind w:hanging="280"/>
        <w:rPr>
          <w:sz w:val="24"/>
          <w:szCs w:val="24"/>
        </w:rPr>
      </w:pPr>
      <w:r>
        <w:rPr>
          <w:sz w:val="24"/>
          <w:szCs w:val="24"/>
        </w:rPr>
        <w:t>Identitas para pihak yang terlibat baik secara langsung maupun tidak langsung dalam konflik;</w:t>
      </w:r>
    </w:p>
    <w:p w:rsidR="007335FD" w:rsidRDefault="00815898">
      <w:pPr>
        <w:pStyle w:val="NoSpacing"/>
        <w:numPr>
          <w:ilvl w:val="0"/>
          <w:numId w:val="39"/>
        </w:numPr>
        <w:spacing w:line="360" w:lineRule="auto"/>
        <w:ind w:hanging="280"/>
        <w:rPr>
          <w:sz w:val="24"/>
          <w:szCs w:val="24"/>
        </w:rPr>
      </w:pPr>
      <w:r>
        <w:rPr>
          <w:sz w:val="24"/>
          <w:szCs w:val="24"/>
        </w:rPr>
        <w:t>Jenis relasi para pihak yang terlibat dalam konflik;</w:t>
      </w:r>
    </w:p>
    <w:p w:rsidR="007335FD" w:rsidRDefault="00815898">
      <w:pPr>
        <w:pStyle w:val="NoSpacing"/>
        <w:numPr>
          <w:ilvl w:val="0"/>
          <w:numId w:val="39"/>
        </w:numPr>
        <w:spacing w:line="360" w:lineRule="auto"/>
        <w:ind w:hanging="280"/>
        <w:rPr>
          <w:sz w:val="24"/>
          <w:szCs w:val="24"/>
        </w:rPr>
      </w:pPr>
      <w:r>
        <w:rPr>
          <w:sz w:val="24"/>
          <w:szCs w:val="24"/>
        </w:rPr>
        <w:t>Berbagai kepentingan yang terlibat dalam konflik;</w:t>
      </w:r>
    </w:p>
    <w:p w:rsidR="007335FD" w:rsidRDefault="00815898">
      <w:pPr>
        <w:pStyle w:val="NoSpacing"/>
        <w:numPr>
          <w:ilvl w:val="0"/>
          <w:numId w:val="39"/>
        </w:numPr>
        <w:spacing w:line="360" w:lineRule="auto"/>
        <w:ind w:hanging="280"/>
        <w:rPr>
          <w:sz w:val="24"/>
          <w:szCs w:val="24"/>
        </w:rPr>
      </w:pPr>
      <w:r>
        <w:rPr>
          <w:sz w:val="24"/>
          <w:szCs w:val="24"/>
        </w:rPr>
        <w:lastRenderedPageBreak/>
        <w:t>Berbagai isu yang terlibat dalam konflik;</w:t>
      </w:r>
    </w:p>
    <w:p w:rsidR="007335FD" w:rsidRDefault="00815898">
      <w:pPr>
        <w:pStyle w:val="NoSpacing"/>
        <w:numPr>
          <w:ilvl w:val="0"/>
          <w:numId w:val="39"/>
        </w:numPr>
        <w:spacing w:line="360" w:lineRule="auto"/>
        <w:ind w:hanging="280"/>
        <w:rPr>
          <w:sz w:val="24"/>
          <w:szCs w:val="24"/>
        </w:rPr>
      </w:pPr>
      <w:r>
        <w:rPr>
          <w:sz w:val="24"/>
          <w:szCs w:val="24"/>
        </w:rPr>
        <w:t>Pihak yang dapat didorong dalam melakukan resolusi konflik.</w:t>
      </w:r>
    </w:p>
    <w:p w:rsidR="007335FD" w:rsidRDefault="00815898">
      <w:pPr>
        <w:spacing w:before="120" w:line="360" w:lineRule="auto"/>
        <w:ind w:leftChars="200" w:left="440" w:firstLineChars="275" w:firstLine="660"/>
        <w:jc w:val="both"/>
        <w:rPr>
          <w:rFonts w:ascii="Calibri" w:eastAsia="Batang" w:hAnsi="Aparajita" w:cs="Aparajita"/>
          <w:sz w:val="24"/>
          <w:szCs w:val="24"/>
        </w:rPr>
      </w:pPr>
      <w:proofErr w:type="gramStart"/>
      <w:r>
        <w:rPr>
          <w:rFonts w:ascii="Calibri" w:eastAsia="Batang" w:hAnsi="Aparajita" w:cs="Aparajita"/>
          <w:sz w:val="24"/>
          <w:szCs w:val="24"/>
        </w:rPr>
        <w:t>Adapun pemetaan konflik memiliki beberapa tujuan yaitu untuk memahami situasi konflik secara lebih baik.</w:t>
      </w:r>
      <w:proofErr w:type="gramEnd"/>
      <w:r>
        <w:rPr>
          <w:rFonts w:ascii="Calibri" w:eastAsia="Batang" w:hAnsi="Aparajita" w:cs="Aparajita"/>
          <w:sz w:val="24"/>
          <w:szCs w:val="24"/>
        </w:rPr>
        <w:t xml:space="preserve"> Dengan menghadirkan hal-hal yang terkait dengan konflik -seperti para pihak yang terlibat dalam konflik, bagaimana relasi antara para pihak tersebut, </w:t>
      </w:r>
      <w:proofErr w:type="gramStart"/>
      <w:r>
        <w:rPr>
          <w:rFonts w:ascii="Calibri" w:eastAsia="Batang" w:hAnsi="Aparajita" w:cs="Aparajita"/>
          <w:sz w:val="24"/>
          <w:szCs w:val="24"/>
        </w:rPr>
        <w:t>apa</w:t>
      </w:r>
      <w:proofErr w:type="gramEnd"/>
      <w:r>
        <w:rPr>
          <w:rFonts w:ascii="Calibri" w:eastAsia="Batang" w:hAnsi="Aparajita" w:cs="Aparajita"/>
          <w:sz w:val="24"/>
          <w:szCs w:val="24"/>
        </w:rPr>
        <w:t xml:space="preserve"> yang menjadi isu yang dikonflikkan, mana atau siapa dari para pihak itu yang memiliki potensi lebih besar untuk menyelesaikan konflik.</w:t>
      </w:r>
    </w:p>
    <w:p w:rsidR="007335FD" w:rsidRDefault="00815898">
      <w:pPr>
        <w:pStyle w:val="NoSpacing"/>
        <w:spacing w:line="360" w:lineRule="auto"/>
        <w:ind w:leftChars="200" w:left="440" w:firstLineChars="275" w:firstLine="660"/>
        <w:rPr>
          <w:sz w:val="24"/>
          <w:szCs w:val="24"/>
        </w:rPr>
      </w:pPr>
      <w:proofErr w:type="gramStart"/>
      <w:r>
        <w:rPr>
          <w:rFonts w:eastAsia="Batang" w:hAnsi="Aparajita" w:cs="Aparajita"/>
          <w:sz w:val="24"/>
          <w:szCs w:val="24"/>
        </w:rPr>
        <w:t>Dengan adanya pemetaan konflik Provinsi Sumatera Barat ini, diharapkan tersedianya bahan evaluasi terhadap situasi dan potensi konflik yang terjadi selama tahun 2018.</w:t>
      </w:r>
      <w:proofErr w:type="gramEnd"/>
      <w:r>
        <w:rPr>
          <w:rFonts w:eastAsia="Batang" w:hAnsi="Aparajita" w:cs="Aparajita"/>
          <w:sz w:val="24"/>
          <w:szCs w:val="24"/>
        </w:rPr>
        <w:t xml:space="preserve"> Sehingga </w:t>
      </w:r>
      <w:proofErr w:type="gramStart"/>
      <w:r>
        <w:rPr>
          <w:rFonts w:eastAsia="Batang" w:hAnsi="Aparajita" w:cs="Aparajita"/>
          <w:sz w:val="24"/>
          <w:szCs w:val="24"/>
        </w:rPr>
        <w:t>akan</w:t>
      </w:r>
      <w:proofErr w:type="gramEnd"/>
      <w:r>
        <w:rPr>
          <w:rFonts w:eastAsia="Batang" w:hAnsi="Aparajita" w:cs="Aparajita"/>
          <w:sz w:val="24"/>
          <w:szCs w:val="24"/>
        </w:rPr>
        <w:t xml:space="preserve"> memunculkan strategi serta bahan kebijakan pimpinan dalam penanganan konflik di wilayah Sumatera Barat. Pemetaan potensi konflik di Sumatera Barat berpedoma</w:t>
      </w:r>
      <w:r>
        <w:rPr>
          <w:sz w:val="24"/>
          <w:szCs w:val="24"/>
        </w:rPr>
        <w:t>n pada Undang-Undang Nomor 7 Tahun 2012 tentang Penanganan Konflik Sosial Pasal 5 dengan pengkasifikasian jenis konflik :</w:t>
      </w:r>
    </w:p>
    <w:p w:rsidR="007335FD" w:rsidRDefault="00815898">
      <w:pPr>
        <w:pStyle w:val="NoSpacing"/>
        <w:numPr>
          <w:ilvl w:val="0"/>
          <w:numId w:val="40"/>
        </w:numPr>
        <w:tabs>
          <w:tab w:val="clear" w:pos="425"/>
        </w:tabs>
        <w:spacing w:line="360" w:lineRule="auto"/>
        <w:ind w:left="880"/>
        <w:rPr>
          <w:sz w:val="24"/>
          <w:szCs w:val="24"/>
        </w:rPr>
      </w:pPr>
      <w:r>
        <w:rPr>
          <w:sz w:val="24"/>
          <w:szCs w:val="24"/>
        </w:rPr>
        <w:t>Permasalahan yang berkaitan dengan politik, ekonomi, dan sosial budaya;</w:t>
      </w:r>
    </w:p>
    <w:p w:rsidR="007335FD" w:rsidRDefault="00815898">
      <w:pPr>
        <w:pStyle w:val="NoSpacing"/>
        <w:numPr>
          <w:ilvl w:val="0"/>
          <w:numId w:val="40"/>
        </w:numPr>
        <w:tabs>
          <w:tab w:val="clear" w:pos="425"/>
        </w:tabs>
        <w:spacing w:line="360" w:lineRule="auto"/>
        <w:ind w:left="880"/>
        <w:rPr>
          <w:sz w:val="24"/>
          <w:szCs w:val="24"/>
        </w:rPr>
      </w:pPr>
      <w:r>
        <w:rPr>
          <w:sz w:val="24"/>
          <w:szCs w:val="24"/>
        </w:rPr>
        <w:t>Perseteruan antarumat beragama dan/atau interumat beragama, antar suku, dan antar etnis;</w:t>
      </w:r>
    </w:p>
    <w:p w:rsidR="007335FD" w:rsidRDefault="00815898">
      <w:pPr>
        <w:pStyle w:val="NoSpacing"/>
        <w:numPr>
          <w:ilvl w:val="0"/>
          <w:numId w:val="40"/>
        </w:numPr>
        <w:tabs>
          <w:tab w:val="clear" w:pos="425"/>
        </w:tabs>
        <w:spacing w:line="360" w:lineRule="auto"/>
        <w:ind w:left="880"/>
        <w:rPr>
          <w:sz w:val="24"/>
          <w:szCs w:val="24"/>
        </w:rPr>
      </w:pPr>
      <w:r>
        <w:rPr>
          <w:sz w:val="24"/>
          <w:szCs w:val="24"/>
        </w:rPr>
        <w:t>Sengketa batas wilayah desa, kabupaten/kota, dan/atau provinsi;</w:t>
      </w:r>
    </w:p>
    <w:p w:rsidR="007335FD" w:rsidRDefault="00815898">
      <w:pPr>
        <w:pStyle w:val="NoSpacing"/>
        <w:numPr>
          <w:ilvl w:val="0"/>
          <w:numId w:val="40"/>
        </w:numPr>
        <w:tabs>
          <w:tab w:val="clear" w:pos="425"/>
        </w:tabs>
        <w:spacing w:line="360" w:lineRule="auto"/>
        <w:ind w:left="880"/>
        <w:rPr>
          <w:sz w:val="24"/>
          <w:szCs w:val="24"/>
        </w:rPr>
      </w:pPr>
      <w:r>
        <w:rPr>
          <w:sz w:val="24"/>
          <w:szCs w:val="24"/>
        </w:rPr>
        <w:t>Sengketa sumber daya alam antar masyarakat dan/atau antar masyarakat dengan pelaku usaha;</w:t>
      </w:r>
    </w:p>
    <w:p w:rsidR="007335FD" w:rsidRDefault="00815898">
      <w:pPr>
        <w:pStyle w:val="NoSpacing"/>
        <w:numPr>
          <w:ilvl w:val="0"/>
          <w:numId w:val="40"/>
        </w:numPr>
        <w:tabs>
          <w:tab w:val="clear" w:pos="425"/>
        </w:tabs>
        <w:spacing w:line="360" w:lineRule="auto"/>
        <w:ind w:left="880"/>
        <w:rPr>
          <w:sz w:val="24"/>
          <w:szCs w:val="24"/>
        </w:rPr>
      </w:pPr>
      <w:r>
        <w:rPr>
          <w:sz w:val="24"/>
          <w:szCs w:val="24"/>
        </w:rPr>
        <w:t>Sengketa sumber daya alam antar masyarakat dan/atau antar masyarakat dengan pelaku usaha.</w:t>
      </w:r>
    </w:p>
    <w:p w:rsidR="007335FD" w:rsidRDefault="00815898" w:rsidP="00815898">
      <w:pPr>
        <w:spacing w:before="120" w:line="360" w:lineRule="auto"/>
        <w:ind w:leftChars="500" w:left="1100"/>
        <w:jc w:val="both"/>
        <w:rPr>
          <w:rFonts w:ascii="Calibri" w:eastAsia="Batang" w:hAnsi="Aparajita" w:cs="Aparajita"/>
          <w:bCs/>
          <w:sz w:val="24"/>
          <w:szCs w:val="24"/>
        </w:rPr>
      </w:pPr>
      <w:r>
        <w:rPr>
          <w:rFonts w:ascii="Calibri" w:eastAsia="Batang" w:hAnsi="Aparajita" w:cs="Aparajita"/>
          <w:bCs/>
          <w:sz w:val="24"/>
          <w:szCs w:val="24"/>
        </w:rPr>
        <w:t xml:space="preserve">Adapun Hasi Evaluasi Pemetaan Potensi Konflik Provinsi Sumatera </w:t>
      </w:r>
      <w:proofErr w:type="gramStart"/>
      <w:r>
        <w:rPr>
          <w:rFonts w:ascii="Calibri" w:eastAsia="Batang" w:hAnsi="Aparajita" w:cs="Aparajita"/>
          <w:bCs/>
          <w:sz w:val="24"/>
          <w:szCs w:val="24"/>
        </w:rPr>
        <w:t>Barat :</w:t>
      </w:r>
      <w:proofErr w:type="gramEnd"/>
    </w:p>
    <w:p w:rsidR="007335FD" w:rsidRDefault="00815898">
      <w:pPr>
        <w:numPr>
          <w:ilvl w:val="0"/>
          <w:numId w:val="41"/>
        </w:numPr>
        <w:tabs>
          <w:tab w:val="clear" w:pos="425"/>
        </w:tabs>
        <w:spacing w:before="120" w:line="360" w:lineRule="auto"/>
        <w:ind w:left="0" w:firstLine="425"/>
        <w:jc w:val="both"/>
        <w:rPr>
          <w:rFonts w:ascii="Calibri" w:eastAsia="Batang" w:hAnsi="Aparajita" w:cs="Aparajita"/>
          <w:b/>
          <w:bCs/>
          <w:sz w:val="24"/>
          <w:szCs w:val="24"/>
        </w:rPr>
      </w:pPr>
      <w:r>
        <w:rPr>
          <w:rFonts w:ascii="Calibri" w:eastAsia="Batang" w:hAnsi="Aparajita" w:cs="Aparajita"/>
          <w:b/>
          <w:bCs/>
          <w:sz w:val="24"/>
          <w:szCs w:val="24"/>
        </w:rPr>
        <w:t>Potensi Konflik EKOPOLSOSBUD</w:t>
      </w:r>
    </w:p>
    <w:p w:rsidR="007335FD" w:rsidRDefault="00815898">
      <w:pPr>
        <w:spacing w:before="120" w:line="360" w:lineRule="auto"/>
        <w:ind w:leftChars="400" w:left="880" w:firstLine="718"/>
        <w:jc w:val="both"/>
        <w:rPr>
          <w:rFonts w:ascii="Calibri" w:eastAsia="Batang" w:hAnsi="Aparajita" w:cs="Aparajita"/>
          <w:sz w:val="24"/>
          <w:szCs w:val="24"/>
        </w:rPr>
      </w:pPr>
      <w:proofErr w:type="gramStart"/>
      <w:r>
        <w:rPr>
          <w:rFonts w:ascii="Calibri" w:eastAsia="Batang" w:hAnsi="Aparajita" w:cs="Aparajita"/>
          <w:sz w:val="24"/>
          <w:szCs w:val="24"/>
        </w:rPr>
        <w:t>Secara kuantitas potensi konflik ini cukup mendominasi terjadi hampir di seluruh kabupaten/kota di Provinsi Sumatera Barat.</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Kecederungan terjadi pada daerah yang memiliki tingkat keheterogenan dan kemajemukan masyarakat yang tinggi seperti daerah dengan masyarakat pendatangnya lebih banyak dari jumlah penduduk aslinya.</w:t>
      </w:r>
      <w:proofErr w:type="gramEnd"/>
      <w:r>
        <w:rPr>
          <w:rFonts w:ascii="Calibri" w:eastAsia="Batang" w:hAnsi="Aparajita" w:cs="Aparajita"/>
          <w:sz w:val="24"/>
          <w:szCs w:val="24"/>
        </w:rPr>
        <w:t xml:space="preserve"> Daerah yang menonjol memiliki potensi konflik bidang ekopolsosbud ini selama tahun 2018 diantaranya (urutan 5 besar berdasarkan jumlah </w:t>
      </w:r>
      <w:r>
        <w:rPr>
          <w:rFonts w:ascii="Calibri" w:eastAsia="Batang" w:hAnsi="Aparajita" w:cs="Aparajita"/>
          <w:sz w:val="24"/>
          <w:szCs w:val="24"/>
        </w:rPr>
        <w:lastRenderedPageBreak/>
        <w:t>terbesar potensi konflik yang dimiliki): Kabupaten Tanah Datar; Kabupaten Kepulauan Mentawai; Kota Sawahlunto; Kota Bukittinggi; dan Kabupaten Pasaman Barat.</w:t>
      </w:r>
    </w:p>
    <w:p w:rsidR="007335FD" w:rsidRDefault="00815898">
      <w:pPr>
        <w:numPr>
          <w:ilvl w:val="0"/>
          <w:numId w:val="41"/>
        </w:numPr>
        <w:tabs>
          <w:tab w:val="clear" w:pos="425"/>
        </w:tabs>
        <w:spacing w:before="120" w:line="360" w:lineRule="auto"/>
        <w:ind w:left="0" w:firstLine="425"/>
        <w:jc w:val="both"/>
        <w:rPr>
          <w:rFonts w:ascii="Calibri" w:eastAsia="Batang" w:hAnsi="Aparajita" w:cs="Aparajita"/>
          <w:b/>
          <w:bCs/>
          <w:sz w:val="24"/>
          <w:szCs w:val="24"/>
        </w:rPr>
      </w:pPr>
      <w:r>
        <w:rPr>
          <w:rFonts w:ascii="Calibri" w:eastAsia="Batang" w:hAnsi="Aparajita" w:cs="Aparajita"/>
          <w:b/>
          <w:bCs/>
          <w:sz w:val="24"/>
          <w:szCs w:val="24"/>
        </w:rPr>
        <w:t xml:space="preserve"> Potensi Konflik SDA/LAHAN</w:t>
      </w:r>
    </w:p>
    <w:p w:rsidR="007335FD" w:rsidRDefault="00815898">
      <w:pPr>
        <w:spacing w:before="120" w:line="360" w:lineRule="auto"/>
        <w:ind w:leftChars="400" w:left="880" w:firstLine="718"/>
        <w:jc w:val="both"/>
        <w:rPr>
          <w:rFonts w:ascii="Calibri" w:eastAsia="Batang" w:hAnsi="Aparajita" w:cs="Aparajita"/>
          <w:sz w:val="24"/>
          <w:szCs w:val="24"/>
        </w:rPr>
      </w:pPr>
      <w:proofErr w:type="gramStart"/>
      <w:r>
        <w:rPr>
          <w:rFonts w:ascii="Calibri" w:eastAsia="Batang" w:hAnsi="Aparajita" w:cs="Aparajita"/>
          <w:sz w:val="24"/>
          <w:szCs w:val="24"/>
        </w:rPr>
        <w:t>Permasalahan SDA/lahan masih menjadi permasalahan utama potensi konflik terjadi di Provinsi Sumatera Barat selama tahun 2018.</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Potensi konflik terjadi lebih disebabkan permasalahan status kepemilikan lahan, kontribusi/bagi hasil perkebunan/pertambangan, dan permasalahan dampak lingkungan lainnya akibat pengelolaan SDA.</w:t>
      </w:r>
      <w:proofErr w:type="gramEnd"/>
      <w:r>
        <w:rPr>
          <w:rFonts w:ascii="Calibri" w:eastAsia="Batang" w:hAnsi="Aparajita" w:cs="Aparajita"/>
          <w:sz w:val="24"/>
          <w:szCs w:val="24"/>
        </w:rPr>
        <w:t xml:space="preserve"> Daerah yang menonjol memiliki potensi konflik SDA/lahan ini selama tahun 2018 diantaranya (urutan 5 besar berdasarkan jumlah terbesar potensi konflik yang dimiliki): Kabupaten Pasaman Barat; Kabupaten Pesisir Selatan; Kabupaten Solok Selatan; Kabupaten Solok; dan Kabupaten Padang Pariaman.</w:t>
      </w:r>
    </w:p>
    <w:p w:rsidR="007335FD" w:rsidRDefault="00815898">
      <w:pPr>
        <w:numPr>
          <w:ilvl w:val="0"/>
          <w:numId w:val="41"/>
        </w:numPr>
        <w:tabs>
          <w:tab w:val="clear" w:pos="425"/>
        </w:tabs>
        <w:spacing w:before="120" w:line="360" w:lineRule="auto"/>
        <w:ind w:left="0" w:firstLine="425"/>
        <w:jc w:val="both"/>
        <w:rPr>
          <w:rFonts w:ascii="Calibri" w:eastAsia="Batang" w:hAnsi="Aparajita" w:cs="Aparajita"/>
          <w:b/>
          <w:bCs/>
          <w:sz w:val="24"/>
          <w:szCs w:val="24"/>
        </w:rPr>
      </w:pPr>
      <w:r>
        <w:rPr>
          <w:rFonts w:ascii="Calibri" w:eastAsia="Batang" w:hAnsi="Aparajita" w:cs="Aparajita"/>
          <w:b/>
          <w:bCs/>
          <w:sz w:val="24"/>
          <w:szCs w:val="24"/>
        </w:rPr>
        <w:t>Potensi Konflik Distribusi SDA</w:t>
      </w:r>
    </w:p>
    <w:p w:rsidR="007335FD" w:rsidRDefault="00815898">
      <w:pPr>
        <w:spacing w:before="120" w:line="360" w:lineRule="auto"/>
        <w:ind w:leftChars="400" w:left="880" w:firstLine="718"/>
        <w:jc w:val="both"/>
        <w:rPr>
          <w:rFonts w:ascii="Calibri" w:eastAsia="Batang" w:hAnsi="Aparajita" w:cs="Aparajita"/>
          <w:sz w:val="24"/>
          <w:szCs w:val="24"/>
        </w:rPr>
      </w:pPr>
      <w:proofErr w:type="gramStart"/>
      <w:r>
        <w:rPr>
          <w:rFonts w:ascii="Calibri" w:eastAsia="Batang" w:hAnsi="Aparajita" w:cs="Aparajita"/>
          <w:sz w:val="24"/>
          <w:szCs w:val="24"/>
        </w:rPr>
        <w:t>Permasalahan distribusi SDA erat kaitan dengan sumber-sumber daya alam yang dikelola namun belum memberikan kontribusi dan manfaat terutama kepada masyarakat sekitar SDA tersebut.</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Hal tersebut merupakan pemasalahan utama yang kerap memicu potensi konflik distribusi SDA yang terjadi dibeberapa daerah di Sumatera Barat.</w:t>
      </w:r>
      <w:proofErr w:type="gramEnd"/>
      <w:r>
        <w:rPr>
          <w:rFonts w:ascii="Calibri" w:eastAsia="Batang" w:hAnsi="Aparajita" w:cs="Aparajita"/>
          <w:sz w:val="24"/>
          <w:szCs w:val="24"/>
        </w:rPr>
        <w:t xml:space="preserve"> Daerah yang menonjol memiliki potensi konflik distribusi SDA selama tahun 2018 diantaranya (urutan berdasarkan jumlah terbesar potensi konflik yang dimiliki): Kabupaten Agam; Kabupaten Solok; Kabupaten Pasaman Barat;</w:t>
      </w:r>
    </w:p>
    <w:p w:rsidR="007335FD" w:rsidRDefault="00815898">
      <w:pPr>
        <w:numPr>
          <w:ilvl w:val="0"/>
          <w:numId w:val="41"/>
        </w:numPr>
        <w:spacing w:before="120" w:line="360" w:lineRule="auto"/>
        <w:ind w:left="0" w:firstLine="425"/>
        <w:jc w:val="both"/>
        <w:rPr>
          <w:rFonts w:ascii="Calibri" w:eastAsia="Batang" w:hAnsi="Aparajita" w:cs="Aparajita"/>
          <w:b/>
          <w:bCs/>
          <w:sz w:val="24"/>
          <w:szCs w:val="24"/>
        </w:rPr>
      </w:pPr>
      <w:r>
        <w:rPr>
          <w:rFonts w:ascii="Calibri" w:eastAsia="Batang" w:hAnsi="Aparajita" w:cs="Aparajita"/>
          <w:b/>
          <w:bCs/>
          <w:sz w:val="24"/>
          <w:szCs w:val="24"/>
        </w:rPr>
        <w:t>Potensi Konflik Batas Wilayah</w:t>
      </w:r>
    </w:p>
    <w:p w:rsidR="007335FD" w:rsidRDefault="00815898">
      <w:pPr>
        <w:spacing w:before="120" w:line="360" w:lineRule="auto"/>
        <w:ind w:leftChars="400" w:left="880" w:firstLineChars="275" w:firstLine="660"/>
        <w:jc w:val="both"/>
        <w:rPr>
          <w:rFonts w:ascii="Calibri" w:eastAsia="Batang" w:hAnsi="Aparajita" w:cs="Aparajita"/>
          <w:sz w:val="24"/>
          <w:szCs w:val="24"/>
        </w:rPr>
      </w:pPr>
      <w:proofErr w:type="gramStart"/>
      <w:r>
        <w:rPr>
          <w:rFonts w:ascii="Calibri" w:eastAsia="Batang" w:hAnsi="Aparajita" w:cs="Aparajita"/>
          <w:sz w:val="24"/>
          <w:szCs w:val="24"/>
        </w:rPr>
        <w:t>Munculnya potensi konflik batas wilayah di Sumatera Barat cenderung disebabkan adanya potensi SDA atau objek bernilai ekonomi berada diantara dua daerah yang memiliki perbatasan (antar nagari, kecamatan atau kabupaten).</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Penyelesaian permasalahan batas wilayah antar nagari ataupun kecamatan dapat diselesaiakan ditingkat kabupaten/kota atau menjadi kewenangannya pemerintah kabupaten/kota.</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Penyelesaian permasalahan batas wilayah antar kabupaten/kota menjadi kewenganannya pemerintah provinsi.</w:t>
      </w:r>
      <w:proofErr w:type="gramEnd"/>
      <w:r>
        <w:rPr>
          <w:rFonts w:ascii="Calibri" w:eastAsia="Batang" w:hAnsi="Aparajita" w:cs="Aparajita"/>
          <w:sz w:val="24"/>
          <w:szCs w:val="24"/>
        </w:rPr>
        <w:t xml:space="preserve"> Adapun daerah yang menonjol memiliki potensi konflik batas wilayah selama tahun 2018 diantaranya (urutan berdasarkan jumlah terbesar potensi konflik yang dimiliki): Kabupaten Tanah Datar; </w:t>
      </w:r>
      <w:r>
        <w:rPr>
          <w:rFonts w:ascii="Calibri" w:eastAsia="Batang" w:hAnsi="Aparajita" w:cs="Aparajita"/>
          <w:sz w:val="24"/>
          <w:szCs w:val="24"/>
        </w:rPr>
        <w:lastRenderedPageBreak/>
        <w:t>Kabupaten Solok; Kabupaten Solok Selatan; Kota Sawahlunto;dan Kabupaten Sijunjung.</w:t>
      </w:r>
    </w:p>
    <w:p w:rsidR="007335FD" w:rsidRDefault="00815898">
      <w:pPr>
        <w:numPr>
          <w:ilvl w:val="0"/>
          <w:numId w:val="41"/>
        </w:numPr>
        <w:spacing w:before="120" w:line="360" w:lineRule="auto"/>
        <w:ind w:left="0" w:firstLine="425"/>
        <w:jc w:val="both"/>
        <w:rPr>
          <w:rFonts w:ascii="Calibri" w:eastAsia="Batang" w:hAnsi="Aparajita" w:cs="Aparajita"/>
          <w:b/>
          <w:bCs/>
          <w:sz w:val="24"/>
          <w:szCs w:val="24"/>
        </w:rPr>
      </w:pPr>
      <w:r>
        <w:rPr>
          <w:rFonts w:ascii="Calibri" w:eastAsia="Batang" w:hAnsi="Aparajita" w:cs="Aparajita"/>
          <w:b/>
          <w:bCs/>
          <w:sz w:val="24"/>
          <w:szCs w:val="24"/>
        </w:rPr>
        <w:t>Potensi Konflik SARA</w:t>
      </w:r>
    </w:p>
    <w:p w:rsidR="007335FD" w:rsidRDefault="00815898">
      <w:pPr>
        <w:spacing w:before="120" w:line="360" w:lineRule="auto"/>
        <w:ind w:leftChars="400" w:left="880" w:firstLine="718"/>
        <w:jc w:val="both"/>
        <w:rPr>
          <w:rFonts w:ascii="Calibri" w:eastAsia="Batang" w:hAnsi="Aparajita" w:cs="Aparajita"/>
          <w:sz w:val="24"/>
          <w:szCs w:val="24"/>
        </w:rPr>
      </w:pPr>
      <w:proofErr w:type="gramStart"/>
      <w:r>
        <w:rPr>
          <w:rFonts w:ascii="Calibri" w:eastAsia="Batang" w:hAnsi="Aparajita" w:cs="Aparajita"/>
          <w:sz w:val="24"/>
          <w:szCs w:val="24"/>
        </w:rPr>
        <w:t>Beragam motif yang menjadi penyebab munculnya permasalahan SARA di Sumatera Barat selama tahun 2018, diantaranya izin pembangunan rumah ibadah, aktivitas penganut aliran sesat, dan larangan pelaksanaan ibadah.</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Permasalahan SARA dinilai sangat sensitif dan rentan untuk pecah menjadi konflik komunal bila tidak segera dilakukan upaya deteksi dan cegah dini.</w:t>
      </w:r>
      <w:proofErr w:type="gramEnd"/>
      <w:r>
        <w:rPr>
          <w:rFonts w:ascii="Calibri" w:eastAsia="Batang" w:hAnsi="Aparajita" w:cs="Aparajita"/>
          <w:sz w:val="24"/>
          <w:szCs w:val="24"/>
        </w:rPr>
        <w:t xml:space="preserve"> </w:t>
      </w:r>
      <w:proofErr w:type="gramStart"/>
      <w:r>
        <w:rPr>
          <w:rFonts w:ascii="Calibri" w:eastAsia="Batang" w:hAnsi="Aparajita" w:cs="Aparajita"/>
          <w:sz w:val="24"/>
          <w:szCs w:val="24"/>
        </w:rPr>
        <w:t xml:space="preserve">Langkah antisipasi dapat dilakukan dengan menemukan segera solusi pemecahan masalahnya melalui pendekatan </w:t>
      </w:r>
      <w:r>
        <w:rPr>
          <w:rFonts w:ascii="Calibri" w:eastAsia="Batang" w:hAnsi="Aparajita" w:cs="Aparajita"/>
          <w:i/>
          <w:iCs/>
          <w:sz w:val="24"/>
          <w:szCs w:val="24"/>
        </w:rPr>
        <w:t>win-win solution.</w:t>
      </w:r>
      <w:proofErr w:type="gramEnd"/>
      <w:r>
        <w:rPr>
          <w:rFonts w:ascii="Calibri" w:eastAsia="Batang" w:hAnsi="Aparajita" w:cs="Aparajita"/>
          <w:i/>
          <w:iCs/>
          <w:sz w:val="24"/>
          <w:szCs w:val="24"/>
        </w:rPr>
        <w:t xml:space="preserve"> </w:t>
      </w:r>
      <w:r>
        <w:rPr>
          <w:rFonts w:ascii="Calibri" w:eastAsia="Batang" w:hAnsi="Aparajita" w:cs="Aparajita"/>
          <w:sz w:val="24"/>
          <w:szCs w:val="24"/>
        </w:rPr>
        <w:t>Adapun daerah yang menonjol memiliki potensi konflik SARA selama tahun 2018 diantaranya (urutan berdasarkan jumlah terbesar potensi konflik yang dimiliki): Kabupaten Pasaman Barat; Kabupaten Solok Selatan; Kabupaten Pesisir Selatan; Kota Bukittinggi; dan Kabupaten Sijunjung.</w:t>
      </w:r>
    </w:p>
    <w:p w:rsidR="007335FD" w:rsidRDefault="00815898">
      <w:pPr>
        <w:autoSpaceDE w:val="0"/>
        <w:autoSpaceDN w:val="0"/>
        <w:adjustRightInd w:val="0"/>
        <w:spacing w:after="0" w:line="360" w:lineRule="auto"/>
        <w:ind w:leftChars="200" w:left="440" w:firstLine="660"/>
        <w:jc w:val="both"/>
        <w:rPr>
          <w:rFonts w:hAnsi="Arial Narrow" w:cs="Arial"/>
          <w:sz w:val="24"/>
          <w:szCs w:val="24"/>
        </w:rPr>
      </w:pPr>
      <w:r>
        <w:rPr>
          <w:rFonts w:eastAsia="Batang" w:hAnsi="Aparajita" w:cs="Aparajita"/>
          <w:sz w:val="24"/>
          <w:szCs w:val="24"/>
        </w:rPr>
        <w:t>Berpedoma</w:t>
      </w:r>
      <w:r>
        <w:rPr>
          <w:sz w:val="24"/>
          <w:szCs w:val="24"/>
        </w:rPr>
        <w:t xml:space="preserve">n pada Undang-Undang Nomor 7 Tahun 2012 tentang Penanganan Konflik Sosial seperti yang telah disebutkan di atas, maka ditetapkan indikator persentase penurunan konflik Sosial di Sumbar sebagai salah satu indikator untuk mendukung capaian sasaran meningkatnya keamanan, ketentraman dan ketertiban masyarakat. Berdasarkan hasil evaluasi pemetaan konflik sosial yang telah dilaksanakan oleh Badan Kesbangpol Provinsi Sumatera Barat tahun 2018, maka dapat diidentifikasi secara cepat dan tepat potensi konflik yang terjadi di Sumatera Barat selama tahun 2018, sehingga </w:t>
      </w:r>
      <w:proofErr w:type="gramStart"/>
      <w:r>
        <w:rPr>
          <w:sz w:val="24"/>
          <w:szCs w:val="24"/>
        </w:rPr>
        <w:t>potensi  konflik</w:t>
      </w:r>
      <w:proofErr w:type="gramEnd"/>
      <w:r>
        <w:rPr>
          <w:sz w:val="24"/>
          <w:szCs w:val="24"/>
        </w:rPr>
        <w:t xml:space="preserve"> yang terjadi dapat diredam melalui berbagai upaya, salah satunya melakukan mediasi dengan tokoh masyarakat, tokoh agama, tokoh adat dan instansi/lembaga terkait di daerah yang rawan konflik. </w:t>
      </w:r>
      <w:proofErr w:type="gramStart"/>
      <w:r>
        <w:rPr>
          <w:sz w:val="24"/>
          <w:szCs w:val="24"/>
        </w:rPr>
        <w:t>Dalam laporan kinerja ini, terdapat 4 jenis konflik sosial yang diukur jumlah penurunannya dari tahun ke tahun yaitu konflik SARA, perbatasan, tanah ulayat dan konflik Sumber Daya Alam.</w:t>
      </w:r>
      <w:proofErr w:type="gramEnd"/>
      <w:r>
        <w:rPr>
          <w:sz w:val="24"/>
          <w:szCs w:val="24"/>
        </w:rPr>
        <w:t xml:space="preserve"> </w:t>
      </w:r>
    </w:p>
    <w:p w:rsidR="007335FD" w:rsidRDefault="00815898">
      <w:pPr>
        <w:autoSpaceDE w:val="0"/>
        <w:autoSpaceDN w:val="0"/>
        <w:adjustRightInd w:val="0"/>
        <w:spacing w:after="0" w:line="360" w:lineRule="auto"/>
        <w:ind w:leftChars="200" w:left="440" w:firstLine="660"/>
        <w:jc w:val="both"/>
        <w:rPr>
          <w:rFonts w:cs="Arial"/>
          <w:b/>
          <w:sz w:val="24"/>
          <w:szCs w:val="24"/>
        </w:rPr>
      </w:pPr>
      <w:proofErr w:type="gramStart"/>
      <w:r>
        <w:rPr>
          <w:rFonts w:cs="Arial"/>
          <w:sz w:val="24"/>
          <w:szCs w:val="24"/>
        </w:rPr>
        <w:t>Dari tabel 3.12 dapat dilihat bahwa untuk indikator pertama, ditargetkan persentase penurunan konflik sosial di Sumbar pada tahun 2018 sebesar 5%.</w:t>
      </w:r>
      <w:proofErr w:type="gramEnd"/>
      <w:r>
        <w:rPr>
          <w:rFonts w:cs="Arial"/>
          <w:sz w:val="24"/>
          <w:szCs w:val="24"/>
        </w:rPr>
        <w:t xml:space="preserve"> Realisasinya menunjukkan bahwa penurunan konflik sosial di Sumbar pada tahun 2018 sebesar 33%, sehingga capaian kinerja untuk indikator ini sebesar 660% dan termasuk kategori keberhasilan </w:t>
      </w:r>
      <w:r>
        <w:rPr>
          <w:rFonts w:cs="Arial"/>
          <w:b/>
          <w:sz w:val="24"/>
          <w:szCs w:val="24"/>
        </w:rPr>
        <w:t>sangat baik.</w:t>
      </w:r>
    </w:p>
    <w:p w:rsidR="007335FD" w:rsidRDefault="00815898">
      <w:pPr>
        <w:autoSpaceDE w:val="0"/>
        <w:autoSpaceDN w:val="0"/>
        <w:adjustRightInd w:val="0"/>
        <w:spacing w:after="0" w:line="360" w:lineRule="auto"/>
        <w:ind w:leftChars="200" w:left="440" w:firstLine="660"/>
        <w:jc w:val="both"/>
        <w:rPr>
          <w:rFonts w:cs="Arial"/>
          <w:bCs/>
          <w:sz w:val="24"/>
          <w:szCs w:val="24"/>
        </w:rPr>
      </w:pPr>
      <w:r>
        <w:rPr>
          <w:rFonts w:cs="Arial"/>
          <w:bCs/>
          <w:sz w:val="24"/>
          <w:szCs w:val="24"/>
        </w:rPr>
        <w:lastRenderedPageBreak/>
        <w:t xml:space="preserve">Keberhasilan dalam pencapaian indikator kinerja ini dipengaruhi oleh berbagai faktor </w:t>
      </w:r>
      <w:proofErr w:type="gramStart"/>
      <w:r>
        <w:rPr>
          <w:rFonts w:cs="Arial"/>
          <w:bCs/>
          <w:sz w:val="24"/>
          <w:szCs w:val="24"/>
        </w:rPr>
        <w:t>diantaranya :</w:t>
      </w:r>
      <w:proofErr w:type="gramEnd"/>
    </w:p>
    <w:p w:rsidR="007335FD" w:rsidRDefault="00815898">
      <w:pPr>
        <w:pStyle w:val="ListParagraph"/>
        <w:numPr>
          <w:ilvl w:val="0"/>
          <w:numId w:val="42"/>
        </w:numPr>
        <w:tabs>
          <w:tab w:val="clear" w:pos="425"/>
        </w:tabs>
        <w:spacing w:line="360" w:lineRule="auto"/>
        <w:ind w:leftChars="200" w:left="880" w:hanging="440"/>
        <w:jc w:val="both"/>
        <w:rPr>
          <w:rFonts w:hAnsiTheme="minorEastAsia" w:cstheme="minorEastAsia"/>
          <w:sz w:val="24"/>
          <w:szCs w:val="24"/>
          <w:lang w:val="sv-SE"/>
        </w:rPr>
      </w:pPr>
      <w:r>
        <w:rPr>
          <w:rFonts w:hAnsiTheme="minorEastAsia" w:cstheme="minorEastAsia"/>
          <w:sz w:val="24"/>
          <w:szCs w:val="24"/>
        </w:rPr>
        <w:t xml:space="preserve">   </w:t>
      </w:r>
      <w:r>
        <w:rPr>
          <w:rFonts w:hAnsiTheme="minorEastAsia" w:cstheme="minorEastAsia" w:hint="eastAsia"/>
          <w:sz w:val="24"/>
          <w:szCs w:val="24"/>
        </w:rPr>
        <w:t xml:space="preserve">Dibentuknya tim dan forum-forum strategis oleh </w:t>
      </w:r>
      <w:r>
        <w:rPr>
          <w:rFonts w:hAnsiTheme="minorEastAsia" w:cstheme="minorEastAsia"/>
          <w:sz w:val="24"/>
          <w:szCs w:val="24"/>
        </w:rPr>
        <w:t xml:space="preserve">Badan Kesbangpol </w:t>
      </w:r>
      <w:r>
        <w:rPr>
          <w:rFonts w:hAnsiTheme="minorEastAsia" w:cstheme="minorEastAsia" w:hint="eastAsia"/>
          <w:sz w:val="24"/>
          <w:szCs w:val="24"/>
        </w:rPr>
        <w:t>Provinsi Sumatera Barat yaitu Tim Kewaspadaan Dini Pemerintah Daerah (TKDPD)</w:t>
      </w:r>
      <w:r>
        <w:rPr>
          <w:rFonts w:hAnsiTheme="minorEastAsia" w:cstheme="minorEastAsia"/>
          <w:sz w:val="24"/>
          <w:szCs w:val="24"/>
        </w:rPr>
        <w:t xml:space="preserve">, </w:t>
      </w:r>
      <w:r>
        <w:rPr>
          <w:rFonts w:hAnsiTheme="minorEastAsia" w:cstheme="minorEastAsia" w:hint="eastAsia"/>
          <w:sz w:val="24"/>
          <w:szCs w:val="24"/>
        </w:rPr>
        <w:t xml:space="preserve">Forum Kewaspadaan Dini Masyarakat (FKDM), Forum Kerukunan Umat Beragama (FKUB), Forum Pembauran Kebangsaan (FPK), Kominda, Penguatan Pusat Pendidikan Wawasan Kebangsaan (PPWK) dan Tim Terpadu Penanganan Konflik Sosial. Forum-forum ini berperan penting dalam mendeteksi dan mengantisipasi setiap permasalahan atau gangguan yang mungkin timbul di tengah masyarakat karena forum ini merupakan wadah informasi, komunikasi, konsultasi dari berbagai unsur terkait dalam rangka mewujudkan sinergitas dan harmonisasi dalam </w:t>
      </w:r>
      <w:r>
        <w:rPr>
          <w:rFonts w:hAnsiTheme="minorEastAsia" w:cstheme="minorEastAsia" w:hint="eastAsia"/>
          <w:sz w:val="24"/>
          <w:szCs w:val="24"/>
          <w:lang w:val="sv-SE"/>
        </w:rPr>
        <w:t>menghadapi dan mengatasi permasalahan yang terjadi dan berkembang d</w:t>
      </w:r>
      <w:r>
        <w:rPr>
          <w:rFonts w:hAnsiTheme="minorEastAsia" w:cstheme="minorEastAsia" w:hint="eastAsia"/>
          <w:sz w:val="24"/>
          <w:szCs w:val="24"/>
        </w:rPr>
        <w:t>i tengah-tengah masyarakat</w:t>
      </w:r>
    </w:p>
    <w:p w:rsidR="007335FD" w:rsidRDefault="00815898">
      <w:pPr>
        <w:pStyle w:val="ListParagraph"/>
        <w:numPr>
          <w:ilvl w:val="0"/>
          <w:numId w:val="42"/>
        </w:numPr>
        <w:tabs>
          <w:tab w:val="clear" w:pos="425"/>
        </w:tabs>
        <w:spacing w:line="360" w:lineRule="auto"/>
        <w:ind w:leftChars="193" w:left="880" w:hanging="455"/>
        <w:jc w:val="both"/>
        <w:rPr>
          <w:rFonts w:hAnsiTheme="minorEastAsia" w:cstheme="minorEastAsia"/>
          <w:sz w:val="24"/>
          <w:szCs w:val="24"/>
          <w:lang w:val="sv-SE"/>
        </w:rPr>
      </w:pPr>
      <w:r>
        <w:rPr>
          <w:rFonts w:eastAsia="SimSun" w:hAnsi="Palatino Linotype" w:cs="Palatino Linotype"/>
          <w:sz w:val="24"/>
          <w:szCs w:val="24"/>
        </w:rPr>
        <w:t xml:space="preserve">   Terjalinnya koordinasi intensif dengan jajaran Forkopimda Sumbar dan </w:t>
      </w:r>
      <w:proofErr w:type="gramStart"/>
      <w:r>
        <w:rPr>
          <w:rFonts w:eastAsia="SimSun" w:hAnsi="Palatino Linotype" w:cs="Palatino Linotype"/>
          <w:sz w:val="24"/>
          <w:szCs w:val="24"/>
        </w:rPr>
        <w:t>tim</w:t>
      </w:r>
      <w:proofErr w:type="gramEnd"/>
      <w:r>
        <w:rPr>
          <w:rFonts w:eastAsia="SimSun" w:hAnsi="Palatino Linotype" w:cs="Palatino Linotype"/>
          <w:sz w:val="24"/>
          <w:szCs w:val="24"/>
        </w:rPr>
        <w:t xml:space="preserve"> Kominda Sumbar </w:t>
      </w:r>
      <w:r>
        <w:rPr>
          <w:rFonts w:hAnsiTheme="minorEastAsia" w:cstheme="minorEastAsia" w:hint="eastAsia"/>
          <w:sz w:val="24"/>
          <w:szCs w:val="24"/>
        </w:rPr>
        <w:t xml:space="preserve">dalam mengantisipasi permasalahan yang berkembang khususnya yang berkaitan dengan </w:t>
      </w:r>
      <w:r>
        <w:rPr>
          <w:rFonts w:hAnsiTheme="minorEastAsia" w:cstheme="minorEastAsia"/>
          <w:sz w:val="24"/>
          <w:szCs w:val="24"/>
        </w:rPr>
        <w:t xml:space="preserve">konflik sosial </w:t>
      </w:r>
      <w:r>
        <w:rPr>
          <w:rFonts w:hAnsiTheme="minorEastAsia" w:cstheme="minorEastAsia" w:hint="eastAsia"/>
          <w:sz w:val="24"/>
          <w:szCs w:val="24"/>
        </w:rPr>
        <w:t>sehingga dapat terwujud</w:t>
      </w:r>
      <w:r>
        <w:rPr>
          <w:rFonts w:hAnsiTheme="minorEastAsia" w:cstheme="minorEastAsia" w:hint="eastAsia"/>
          <w:sz w:val="24"/>
          <w:szCs w:val="24"/>
          <w:lang w:val="sv-SE"/>
        </w:rPr>
        <w:t xml:space="preserve"> persamaan persepsi, visi dan misi serta</w:t>
      </w:r>
      <w:r>
        <w:rPr>
          <w:rFonts w:hAnsiTheme="minorEastAsia" w:cstheme="minorEastAsia" w:hint="eastAsia"/>
          <w:sz w:val="24"/>
          <w:szCs w:val="24"/>
        </w:rPr>
        <w:t xml:space="preserve"> dapat</w:t>
      </w:r>
      <w:r>
        <w:rPr>
          <w:rFonts w:hAnsiTheme="minorEastAsia" w:cstheme="minorEastAsia" w:hint="eastAsia"/>
          <w:sz w:val="24"/>
          <w:szCs w:val="24"/>
          <w:lang w:val="sv-SE"/>
        </w:rPr>
        <w:t xml:space="preserve"> menghasilkan rekomendasi sebagai acuan dalam menyelesaikan permasalahan</w:t>
      </w:r>
      <w:r>
        <w:rPr>
          <w:rFonts w:hAnsiTheme="minorEastAsia" w:cstheme="minorEastAsia" w:hint="eastAsia"/>
          <w:sz w:val="24"/>
          <w:szCs w:val="24"/>
        </w:rPr>
        <w:t xml:space="preserve"> di</w:t>
      </w:r>
      <w:r>
        <w:rPr>
          <w:rFonts w:hAnsiTheme="minorEastAsia" w:cstheme="minorEastAsia" w:hint="eastAsia"/>
          <w:sz w:val="24"/>
          <w:szCs w:val="24"/>
          <w:lang w:val="sv-SE"/>
        </w:rPr>
        <w:t xml:space="preserve"> daerah</w:t>
      </w:r>
      <w:r>
        <w:rPr>
          <w:rFonts w:hAnsiTheme="minorEastAsia" w:cstheme="minorEastAsia" w:hint="eastAsia"/>
          <w:sz w:val="24"/>
          <w:szCs w:val="24"/>
        </w:rPr>
        <w:t>.</w:t>
      </w:r>
    </w:p>
    <w:p w:rsidR="007335FD" w:rsidRDefault="00815898">
      <w:pPr>
        <w:pStyle w:val="ListParagraph"/>
        <w:numPr>
          <w:ilvl w:val="0"/>
          <w:numId w:val="42"/>
        </w:numPr>
        <w:tabs>
          <w:tab w:val="clear" w:pos="425"/>
        </w:tabs>
        <w:spacing w:line="360" w:lineRule="auto"/>
        <w:ind w:leftChars="193" w:left="880" w:hanging="455"/>
        <w:jc w:val="both"/>
        <w:rPr>
          <w:rFonts w:hAnsiTheme="minorEastAsia" w:cstheme="minorEastAsia"/>
          <w:sz w:val="24"/>
          <w:szCs w:val="24"/>
          <w:lang w:val="sv-SE"/>
        </w:rPr>
      </w:pPr>
      <w:r>
        <w:rPr>
          <w:rFonts w:eastAsia="SimSun" w:hAnsi="Palatino Linotype" w:cs="Palatino Linotype"/>
          <w:sz w:val="24"/>
          <w:szCs w:val="24"/>
        </w:rPr>
        <w:t xml:space="preserve">  Terjalinnya k</w:t>
      </w:r>
      <w:r>
        <w:rPr>
          <w:rFonts w:hAnsiTheme="minorEastAsia" w:cstheme="minorEastAsia" w:hint="eastAsia"/>
          <w:sz w:val="24"/>
          <w:szCs w:val="24"/>
          <w:lang w:val="sv-SE"/>
        </w:rPr>
        <w:t>oordinasi dan konsolidasi dengan tokoh-tokoh masyarakat (alim ulama, tokoh agama, tokoh adat) dalam melakukan deteksi dini dan pencegahan terkait berbagai permasalahan khususnya masalah konflik sosial</w:t>
      </w:r>
      <w:r>
        <w:rPr>
          <w:rFonts w:hAnsiTheme="minorEastAsia" w:cstheme="minorEastAsia" w:hint="eastAsia"/>
          <w:sz w:val="24"/>
          <w:szCs w:val="24"/>
        </w:rPr>
        <w:t>.</w:t>
      </w:r>
    </w:p>
    <w:p w:rsidR="007335FD" w:rsidRDefault="00815898">
      <w:pPr>
        <w:pStyle w:val="ListParagraph"/>
        <w:numPr>
          <w:ilvl w:val="0"/>
          <w:numId w:val="42"/>
        </w:numPr>
        <w:tabs>
          <w:tab w:val="clear" w:pos="425"/>
        </w:tabs>
        <w:spacing w:line="360" w:lineRule="auto"/>
        <w:ind w:leftChars="193" w:left="880" w:hanging="455"/>
        <w:jc w:val="both"/>
        <w:rPr>
          <w:rFonts w:hAnsiTheme="minorEastAsia" w:cstheme="minorEastAsia"/>
          <w:sz w:val="24"/>
          <w:szCs w:val="24"/>
          <w:lang w:val="sv-SE"/>
        </w:rPr>
      </w:pPr>
      <w:r>
        <w:rPr>
          <w:rFonts w:eastAsia="SimSun" w:hAnsi="Palatino Linotype" w:cs="Palatino Linotype"/>
          <w:sz w:val="24"/>
          <w:szCs w:val="24"/>
        </w:rPr>
        <w:t xml:space="preserve">  Adanya peran tim terpadu penanganan konflik sosial tingkat provinsi Sumatera Barat tahun 201</w:t>
      </w:r>
      <w:r>
        <w:rPr>
          <w:rFonts w:eastAsia="SimSun" w:hAnsi="Palatino Linotype" w:cs="Palatino Linotype"/>
          <w:sz w:val="24"/>
          <w:szCs w:val="24"/>
          <w:lang w:val="id-ID"/>
        </w:rPr>
        <w:t>8</w:t>
      </w:r>
      <w:r>
        <w:rPr>
          <w:rFonts w:eastAsia="SimSun" w:hAnsi="Palatino Linotype" w:cs="Palatino Linotype"/>
          <w:sz w:val="24"/>
          <w:szCs w:val="24"/>
        </w:rPr>
        <w:t xml:space="preserve"> yang dibentuk berdasarkan </w:t>
      </w:r>
      <w:r>
        <w:rPr>
          <w:rFonts w:eastAsia="SimSun" w:hAnsi="Palatino Linotype" w:cs="Palatino Linotype"/>
          <w:sz w:val="24"/>
          <w:szCs w:val="24"/>
          <w:lang w:val="id-ID"/>
        </w:rPr>
        <w:t xml:space="preserve">Permendagri Nomor 42 tahun 2015 tentang Pelaksanaan Koordinasi Penanganan Konflik Sosial, dan mengacu pada </w:t>
      </w:r>
      <w:r>
        <w:rPr>
          <w:rFonts w:eastAsia="SimSun" w:hAnsi="Palatino Linotype" w:cs="Palatino Linotype"/>
          <w:sz w:val="24"/>
          <w:szCs w:val="24"/>
        </w:rPr>
        <w:t xml:space="preserve">Surat Edaran Menteri Dalam Negeri Nomor 460/964/SJ tanggal 23 Februari 2015. Kegiatan </w:t>
      </w:r>
      <w:r>
        <w:rPr>
          <w:rFonts w:eastAsia="SimSun" w:hAnsi="Palatino Linotype" w:cs="Palatino Linotype"/>
          <w:sz w:val="24"/>
          <w:szCs w:val="24"/>
          <w:lang w:val="id-ID"/>
        </w:rPr>
        <w:t xml:space="preserve">yang dilakukan oleh </w:t>
      </w:r>
      <w:proofErr w:type="gramStart"/>
      <w:r>
        <w:rPr>
          <w:rFonts w:eastAsia="SimSun" w:hAnsi="Palatino Linotype" w:cs="Palatino Linotype"/>
          <w:sz w:val="24"/>
          <w:szCs w:val="24"/>
          <w:lang w:val="id-ID"/>
        </w:rPr>
        <w:t>tim</w:t>
      </w:r>
      <w:proofErr w:type="gramEnd"/>
      <w:r>
        <w:rPr>
          <w:rFonts w:eastAsia="SimSun" w:hAnsi="Palatino Linotype" w:cs="Palatino Linotype"/>
          <w:sz w:val="24"/>
          <w:szCs w:val="24"/>
          <w:lang w:val="id-ID"/>
        </w:rPr>
        <w:t xml:space="preserve"> terpadu penanganan konflik sosial</w:t>
      </w:r>
      <w:r>
        <w:rPr>
          <w:rFonts w:eastAsia="SimSun" w:hAnsi="Palatino Linotype" w:cs="Palatino Linotype"/>
          <w:sz w:val="24"/>
          <w:szCs w:val="24"/>
        </w:rPr>
        <w:t xml:space="preserve"> meliputi pencegahan konflik sosial, penghentian konflik sosial dan pemulihan pasca konflik</w:t>
      </w:r>
      <w:r>
        <w:rPr>
          <w:rFonts w:eastAsia="SimSun" w:hAnsi="Palatino Linotype" w:cs="Palatino Linotype"/>
          <w:sz w:val="24"/>
          <w:szCs w:val="24"/>
          <w:lang w:val="id-ID"/>
        </w:rPr>
        <w:t xml:space="preserve"> dalam bentuk rencana aksi yang dilaporkan secara periodik.</w:t>
      </w:r>
    </w:p>
    <w:p w:rsidR="007335FD" w:rsidRDefault="00815898">
      <w:pPr>
        <w:pStyle w:val="ListParagraph"/>
        <w:numPr>
          <w:ilvl w:val="0"/>
          <w:numId w:val="42"/>
        </w:numPr>
        <w:tabs>
          <w:tab w:val="clear" w:pos="425"/>
        </w:tabs>
        <w:spacing w:line="360" w:lineRule="auto"/>
        <w:ind w:leftChars="193" w:left="880" w:hanging="455"/>
        <w:jc w:val="both"/>
        <w:rPr>
          <w:rFonts w:hAnsiTheme="minorEastAsia" w:cstheme="minorEastAsia"/>
          <w:sz w:val="24"/>
          <w:szCs w:val="24"/>
          <w:lang w:val="sv-SE"/>
        </w:rPr>
      </w:pPr>
      <w:r>
        <w:rPr>
          <w:rFonts w:eastAsia="SimSun" w:hAnsi="Palatino Linotype" w:cs="Palatino Linotype"/>
          <w:sz w:val="24"/>
          <w:szCs w:val="24"/>
        </w:rPr>
        <w:t xml:space="preserve">  Tersedianya peta rawan konflik yang disusun s</w:t>
      </w:r>
      <w:r>
        <w:rPr>
          <w:rFonts w:hAnsiTheme="minorEastAsia" w:cstheme="minorEastAsia" w:hint="eastAsia"/>
          <w:sz w:val="24"/>
          <w:szCs w:val="24"/>
        </w:rPr>
        <w:t xml:space="preserve">ebagai salah satu upaya meminimalisir meluasnya konflik yang dipicu oleh berbagai faktor. </w:t>
      </w:r>
      <w:r>
        <w:rPr>
          <w:rFonts w:hAnsiTheme="minorEastAsia" w:cstheme="minorEastAsia" w:hint="eastAsia"/>
          <w:sz w:val="24"/>
          <w:szCs w:val="24"/>
          <w:lang w:eastAsia="id-ID"/>
        </w:rPr>
        <w:t xml:space="preserve">Dengan adanya pemetaan konflik di Sumatera Barat, diharapkan tersedianya bahan evaluasi terhadap situasi dan potensi konflik yang terjadi selama tahun 2018. Sehingga </w:t>
      </w:r>
      <w:proofErr w:type="gramStart"/>
      <w:r>
        <w:rPr>
          <w:rFonts w:hAnsiTheme="minorEastAsia" w:cstheme="minorEastAsia" w:hint="eastAsia"/>
          <w:sz w:val="24"/>
          <w:szCs w:val="24"/>
          <w:lang w:eastAsia="id-ID"/>
        </w:rPr>
        <w:t>akan</w:t>
      </w:r>
      <w:proofErr w:type="gramEnd"/>
      <w:r>
        <w:rPr>
          <w:rFonts w:hAnsiTheme="minorEastAsia" w:cstheme="minorEastAsia" w:hint="eastAsia"/>
          <w:sz w:val="24"/>
          <w:szCs w:val="24"/>
          <w:lang w:eastAsia="id-ID"/>
        </w:rPr>
        <w:t xml:space="preserve"> memunculkan strategi </w:t>
      </w:r>
      <w:r>
        <w:rPr>
          <w:rFonts w:hAnsiTheme="minorEastAsia" w:cstheme="minorEastAsia" w:hint="eastAsia"/>
          <w:sz w:val="24"/>
          <w:szCs w:val="24"/>
          <w:lang w:eastAsia="id-ID"/>
        </w:rPr>
        <w:lastRenderedPageBreak/>
        <w:t xml:space="preserve">serta bahan kebijakan pimpinan dalam penanganan konflik di wilayah Sumatera Barat. Pemetaan potensi konflik di Sumatera Barat berpedoman pada Undang-Undang Nomor 7 Tahun 2012 tentang Penanganan Konflik Sosial </w:t>
      </w:r>
    </w:p>
    <w:p w:rsidR="007335FD" w:rsidRDefault="00815898">
      <w:pPr>
        <w:pStyle w:val="ListParagraph"/>
        <w:numPr>
          <w:ilvl w:val="0"/>
          <w:numId w:val="42"/>
        </w:numPr>
        <w:tabs>
          <w:tab w:val="clear" w:pos="425"/>
        </w:tabs>
        <w:spacing w:line="360" w:lineRule="auto"/>
        <w:ind w:leftChars="193" w:left="880" w:hanging="455"/>
        <w:jc w:val="both"/>
        <w:rPr>
          <w:rFonts w:hAnsiTheme="minorEastAsia" w:cstheme="minorEastAsia"/>
          <w:sz w:val="24"/>
          <w:szCs w:val="24"/>
          <w:lang w:val="sv-SE"/>
        </w:rPr>
      </w:pPr>
      <w:r>
        <w:rPr>
          <w:rFonts w:eastAsia="SimSun" w:hAnsi="Palatino Linotype" w:cs="Palatino Linotype"/>
          <w:sz w:val="24"/>
          <w:szCs w:val="24"/>
        </w:rPr>
        <w:t xml:space="preserve">  Dilaksanakannya penguatan dan pembekalan wawasan kebangsaan kepada masyarakat dan generasi muda yang mencakup ketahanan bangsa, nilai nilai luhur bangsa, pemahaman bela negara, pembauran kebangsaan dan penguatan karakter bangsa melalui revolusi mental sebagai salah satu upaya mencegah terjadinya perpecahan di tengah masyarakat yang bisa berujung pada konflik SARA.</w:t>
      </w:r>
    </w:p>
    <w:p w:rsidR="007335FD" w:rsidRDefault="00815898">
      <w:pPr>
        <w:autoSpaceDE w:val="0"/>
        <w:autoSpaceDN w:val="0"/>
        <w:adjustRightInd w:val="0"/>
        <w:spacing w:after="0" w:line="360" w:lineRule="auto"/>
        <w:ind w:leftChars="200" w:left="440" w:firstLine="660"/>
        <w:jc w:val="both"/>
        <w:rPr>
          <w:rFonts w:cs="Arial"/>
          <w:bCs/>
          <w:sz w:val="24"/>
          <w:szCs w:val="24"/>
        </w:rPr>
      </w:pPr>
      <w:proofErr w:type="gramStart"/>
      <w:r>
        <w:rPr>
          <w:rFonts w:cs="Arial"/>
          <w:bCs/>
          <w:sz w:val="24"/>
          <w:szCs w:val="24"/>
        </w:rPr>
        <w:t>Jika dibandingkan dengan tahun-tahun sebelumnya, jumlah konflik sosial di Sumatera Barat mengalami penurunan dari tahun ke tahun.</w:t>
      </w:r>
      <w:proofErr w:type="gramEnd"/>
      <w:r>
        <w:rPr>
          <w:rFonts w:cs="Arial"/>
          <w:bCs/>
          <w:sz w:val="24"/>
          <w:szCs w:val="24"/>
        </w:rPr>
        <w:t xml:space="preserve"> Hal ini dapat dilihat pada tabel </w:t>
      </w:r>
      <w:proofErr w:type="gramStart"/>
      <w:r>
        <w:rPr>
          <w:rFonts w:cs="Arial"/>
          <w:bCs/>
          <w:sz w:val="24"/>
          <w:szCs w:val="24"/>
        </w:rPr>
        <w:t>berikut :</w:t>
      </w:r>
      <w:proofErr w:type="gramEnd"/>
    </w:p>
    <w:p w:rsidR="007335FD" w:rsidRDefault="00815898">
      <w:pPr>
        <w:pStyle w:val="NoSpacing"/>
        <w:ind w:leftChars="200" w:left="440"/>
        <w:jc w:val="center"/>
        <w:rPr>
          <w:b/>
          <w:bCs/>
          <w:sz w:val="24"/>
          <w:szCs w:val="24"/>
        </w:rPr>
      </w:pPr>
      <w:r>
        <w:rPr>
          <w:b/>
          <w:bCs/>
          <w:sz w:val="24"/>
          <w:szCs w:val="24"/>
        </w:rPr>
        <w:t>Tabel 3.14</w:t>
      </w:r>
    </w:p>
    <w:p w:rsidR="007335FD" w:rsidRDefault="00815898">
      <w:pPr>
        <w:pStyle w:val="NoSpacing"/>
        <w:ind w:leftChars="200" w:left="440"/>
        <w:jc w:val="center"/>
        <w:rPr>
          <w:b/>
          <w:bCs/>
          <w:sz w:val="24"/>
          <w:szCs w:val="24"/>
        </w:rPr>
      </w:pPr>
      <w:r>
        <w:rPr>
          <w:b/>
          <w:bCs/>
          <w:sz w:val="24"/>
          <w:szCs w:val="24"/>
        </w:rPr>
        <w:t>Perbandingan Jumlah Konflik Sosial di Sumatera Barat</w:t>
      </w:r>
    </w:p>
    <w:p w:rsidR="007335FD" w:rsidRDefault="00815898">
      <w:pPr>
        <w:pStyle w:val="NoSpacing"/>
        <w:ind w:leftChars="200" w:left="440"/>
        <w:jc w:val="center"/>
        <w:rPr>
          <w:b/>
          <w:bCs/>
          <w:sz w:val="24"/>
          <w:szCs w:val="24"/>
        </w:rPr>
      </w:pPr>
      <w:r>
        <w:rPr>
          <w:b/>
          <w:bCs/>
          <w:sz w:val="24"/>
          <w:szCs w:val="24"/>
        </w:rPr>
        <w:t>Tahun 2016-2018</w:t>
      </w:r>
    </w:p>
    <w:p w:rsidR="007335FD" w:rsidRDefault="007335FD">
      <w:pPr>
        <w:pStyle w:val="NoSpacing"/>
        <w:ind w:leftChars="200" w:left="440"/>
        <w:jc w:val="center"/>
        <w:rPr>
          <w:b/>
          <w:bCs/>
          <w:sz w:val="24"/>
          <w:szCs w:val="24"/>
        </w:rPr>
      </w:pPr>
    </w:p>
    <w:tbl>
      <w:tblPr>
        <w:tblStyle w:val="TableGrid"/>
        <w:tblW w:w="8870" w:type="dxa"/>
        <w:tblInd w:w="653" w:type="dxa"/>
        <w:tblLayout w:type="fixed"/>
        <w:tblLook w:val="04A0" w:firstRow="1" w:lastRow="0" w:firstColumn="1" w:lastColumn="0" w:noHBand="0" w:noVBand="1"/>
      </w:tblPr>
      <w:tblGrid>
        <w:gridCol w:w="705"/>
        <w:gridCol w:w="3009"/>
        <w:gridCol w:w="1408"/>
        <w:gridCol w:w="1874"/>
        <w:gridCol w:w="1874"/>
      </w:tblGrid>
      <w:tr w:rsidR="007335FD">
        <w:tc>
          <w:tcPr>
            <w:tcW w:w="705" w:type="dxa"/>
            <w:shd w:val="clear" w:color="auto" w:fill="C00000"/>
          </w:tcPr>
          <w:p w:rsidR="007335FD" w:rsidRDefault="00815898">
            <w:pPr>
              <w:spacing w:line="360" w:lineRule="auto"/>
              <w:jc w:val="center"/>
              <w:rPr>
                <w:rFonts w:cs="Aparajita"/>
                <w:b/>
                <w:sz w:val="24"/>
                <w:szCs w:val="24"/>
              </w:rPr>
            </w:pPr>
            <w:r>
              <w:rPr>
                <w:rFonts w:cs="Aparajita"/>
                <w:b/>
                <w:sz w:val="24"/>
                <w:szCs w:val="24"/>
              </w:rPr>
              <w:t>No</w:t>
            </w:r>
          </w:p>
        </w:tc>
        <w:tc>
          <w:tcPr>
            <w:tcW w:w="3009" w:type="dxa"/>
            <w:shd w:val="clear" w:color="auto" w:fill="C00000"/>
          </w:tcPr>
          <w:p w:rsidR="007335FD" w:rsidRDefault="00815898">
            <w:pPr>
              <w:spacing w:line="360" w:lineRule="auto"/>
              <w:jc w:val="center"/>
              <w:rPr>
                <w:rFonts w:cs="Aparajita"/>
                <w:b/>
                <w:sz w:val="24"/>
                <w:szCs w:val="24"/>
              </w:rPr>
            </w:pPr>
            <w:r>
              <w:rPr>
                <w:rFonts w:cs="Aparajita"/>
                <w:b/>
                <w:sz w:val="24"/>
                <w:szCs w:val="24"/>
              </w:rPr>
              <w:t>Konflik Sosial</w:t>
            </w:r>
          </w:p>
        </w:tc>
        <w:tc>
          <w:tcPr>
            <w:tcW w:w="1408" w:type="dxa"/>
            <w:shd w:val="clear" w:color="auto" w:fill="C00000"/>
          </w:tcPr>
          <w:p w:rsidR="007335FD" w:rsidRDefault="00815898">
            <w:pPr>
              <w:spacing w:line="360" w:lineRule="auto"/>
              <w:jc w:val="center"/>
              <w:rPr>
                <w:rFonts w:cs="Aparajita"/>
                <w:b/>
                <w:sz w:val="24"/>
                <w:szCs w:val="24"/>
              </w:rPr>
            </w:pPr>
            <w:r>
              <w:rPr>
                <w:rFonts w:cs="Aparajita"/>
                <w:b/>
                <w:sz w:val="24"/>
                <w:szCs w:val="24"/>
              </w:rPr>
              <w:t>Tahun 2016</w:t>
            </w:r>
          </w:p>
        </w:tc>
        <w:tc>
          <w:tcPr>
            <w:tcW w:w="1874" w:type="dxa"/>
            <w:shd w:val="clear" w:color="auto" w:fill="C00000"/>
          </w:tcPr>
          <w:p w:rsidR="007335FD" w:rsidRDefault="00815898">
            <w:pPr>
              <w:spacing w:line="360" w:lineRule="auto"/>
              <w:jc w:val="center"/>
              <w:rPr>
                <w:rFonts w:cs="Aparajita"/>
                <w:b/>
                <w:sz w:val="24"/>
                <w:szCs w:val="24"/>
              </w:rPr>
            </w:pPr>
            <w:r>
              <w:rPr>
                <w:rFonts w:cs="Aparajita"/>
                <w:b/>
                <w:sz w:val="24"/>
                <w:szCs w:val="24"/>
              </w:rPr>
              <w:t>Tahun 2017</w:t>
            </w:r>
          </w:p>
        </w:tc>
        <w:tc>
          <w:tcPr>
            <w:tcW w:w="1874" w:type="dxa"/>
            <w:shd w:val="clear" w:color="auto" w:fill="C00000"/>
          </w:tcPr>
          <w:p w:rsidR="007335FD" w:rsidRDefault="00815898">
            <w:pPr>
              <w:spacing w:line="360" w:lineRule="auto"/>
              <w:jc w:val="center"/>
              <w:rPr>
                <w:rFonts w:cs="Aparajita"/>
                <w:b/>
                <w:sz w:val="24"/>
                <w:szCs w:val="24"/>
              </w:rPr>
            </w:pPr>
            <w:r>
              <w:rPr>
                <w:rFonts w:cs="Aparajita"/>
                <w:b/>
                <w:sz w:val="24"/>
                <w:szCs w:val="24"/>
              </w:rPr>
              <w:t>Tahun 2018</w:t>
            </w:r>
          </w:p>
        </w:tc>
      </w:tr>
      <w:tr w:rsidR="007335FD">
        <w:tc>
          <w:tcPr>
            <w:tcW w:w="705" w:type="dxa"/>
          </w:tcPr>
          <w:p w:rsidR="007335FD" w:rsidRDefault="00815898">
            <w:pPr>
              <w:spacing w:line="360" w:lineRule="auto"/>
              <w:jc w:val="center"/>
              <w:rPr>
                <w:rFonts w:cs="Aparajita"/>
                <w:sz w:val="24"/>
                <w:szCs w:val="24"/>
              </w:rPr>
            </w:pPr>
            <w:r>
              <w:rPr>
                <w:rFonts w:cs="Aparajita"/>
                <w:sz w:val="24"/>
                <w:szCs w:val="24"/>
              </w:rPr>
              <w:t>1</w:t>
            </w:r>
          </w:p>
        </w:tc>
        <w:tc>
          <w:tcPr>
            <w:tcW w:w="3009" w:type="dxa"/>
          </w:tcPr>
          <w:p w:rsidR="007335FD" w:rsidRDefault="00815898">
            <w:pPr>
              <w:spacing w:line="360" w:lineRule="auto"/>
              <w:rPr>
                <w:rFonts w:cs="Aparajita"/>
                <w:sz w:val="24"/>
                <w:szCs w:val="24"/>
              </w:rPr>
            </w:pPr>
            <w:r>
              <w:rPr>
                <w:rFonts w:cs="Aparajita"/>
                <w:sz w:val="24"/>
                <w:szCs w:val="24"/>
              </w:rPr>
              <w:t>Konflik Lahan/Tanah Ulayat</w:t>
            </w:r>
          </w:p>
        </w:tc>
        <w:tc>
          <w:tcPr>
            <w:tcW w:w="1408" w:type="dxa"/>
          </w:tcPr>
          <w:p w:rsidR="007335FD" w:rsidRDefault="00815898">
            <w:pPr>
              <w:spacing w:line="360" w:lineRule="auto"/>
              <w:jc w:val="center"/>
              <w:rPr>
                <w:rFonts w:cs="Aparajita"/>
                <w:sz w:val="24"/>
                <w:szCs w:val="24"/>
              </w:rPr>
            </w:pPr>
            <w:r>
              <w:rPr>
                <w:rFonts w:cs="Aparajita"/>
                <w:sz w:val="24"/>
                <w:szCs w:val="24"/>
              </w:rPr>
              <w:t>1 kasus</w:t>
            </w:r>
          </w:p>
        </w:tc>
        <w:tc>
          <w:tcPr>
            <w:tcW w:w="1874" w:type="dxa"/>
          </w:tcPr>
          <w:p w:rsidR="007335FD" w:rsidRDefault="00815898">
            <w:pPr>
              <w:spacing w:line="360" w:lineRule="auto"/>
              <w:jc w:val="center"/>
              <w:rPr>
                <w:rFonts w:cs="Aparajita"/>
                <w:sz w:val="24"/>
                <w:szCs w:val="24"/>
              </w:rPr>
            </w:pPr>
            <w:r>
              <w:rPr>
                <w:rFonts w:cs="Aparajita"/>
                <w:sz w:val="24"/>
                <w:szCs w:val="24"/>
              </w:rPr>
              <w:t>2 kasus</w:t>
            </w:r>
          </w:p>
        </w:tc>
        <w:tc>
          <w:tcPr>
            <w:tcW w:w="1874" w:type="dxa"/>
          </w:tcPr>
          <w:p w:rsidR="007335FD" w:rsidRDefault="00815898">
            <w:pPr>
              <w:spacing w:line="360" w:lineRule="auto"/>
              <w:jc w:val="center"/>
              <w:rPr>
                <w:rFonts w:cs="Aparajita"/>
                <w:sz w:val="24"/>
                <w:szCs w:val="24"/>
              </w:rPr>
            </w:pPr>
            <w:r>
              <w:rPr>
                <w:rFonts w:cs="Aparajita"/>
                <w:sz w:val="24"/>
                <w:szCs w:val="24"/>
              </w:rPr>
              <w:t>-</w:t>
            </w:r>
          </w:p>
        </w:tc>
      </w:tr>
      <w:tr w:rsidR="007335FD">
        <w:tc>
          <w:tcPr>
            <w:tcW w:w="705" w:type="dxa"/>
          </w:tcPr>
          <w:p w:rsidR="007335FD" w:rsidRDefault="00815898">
            <w:pPr>
              <w:spacing w:line="360" w:lineRule="auto"/>
              <w:jc w:val="center"/>
              <w:rPr>
                <w:rFonts w:cs="Aparajita"/>
                <w:sz w:val="24"/>
                <w:szCs w:val="24"/>
              </w:rPr>
            </w:pPr>
            <w:r>
              <w:rPr>
                <w:rFonts w:cs="Aparajita"/>
                <w:sz w:val="24"/>
                <w:szCs w:val="24"/>
              </w:rPr>
              <w:t>2</w:t>
            </w:r>
          </w:p>
        </w:tc>
        <w:tc>
          <w:tcPr>
            <w:tcW w:w="3009" w:type="dxa"/>
          </w:tcPr>
          <w:p w:rsidR="007335FD" w:rsidRDefault="00815898">
            <w:pPr>
              <w:spacing w:line="360" w:lineRule="auto"/>
              <w:jc w:val="both"/>
              <w:rPr>
                <w:rFonts w:cs="Aparajita"/>
                <w:sz w:val="24"/>
                <w:szCs w:val="24"/>
              </w:rPr>
            </w:pPr>
            <w:r>
              <w:rPr>
                <w:rFonts w:cs="Aparajita"/>
                <w:sz w:val="24"/>
                <w:szCs w:val="24"/>
              </w:rPr>
              <w:t>Konflik Perbatasan</w:t>
            </w:r>
          </w:p>
        </w:tc>
        <w:tc>
          <w:tcPr>
            <w:tcW w:w="1408" w:type="dxa"/>
          </w:tcPr>
          <w:p w:rsidR="007335FD" w:rsidRDefault="00815898">
            <w:pPr>
              <w:spacing w:line="360" w:lineRule="auto"/>
              <w:jc w:val="center"/>
              <w:rPr>
                <w:rFonts w:cs="Aparajita"/>
                <w:sz w:val="24"/>
                <w:szCs w:val="24"/>
              </w:rPr>
            </w:pPr>
            <w:r>
              <w:rPr>
                <w:rFonts w:cs="Aparajita"/>
                <w:sz w:val="24"/>
                <w:szCs w:val="24"/>
              </w:rPr>
              <w:t>2 kasus</w:t>
            </w:r>
          </w:p>
        </w:tc>
        <w:tc>
          <w:tcPr>
            <w:tcW w:w="1874" w:type="dxa"/>
          </w:tcPr>
          <w:p w:rsidR="007335FD" w:rsidRDefault="00815898">
            <w:pPr>
              <w:spacing w:line="360" w:lineRule="auto"/>
              <w:jc w:val="center"/>
              <w:rPr>
                <w:rFonts w:cs="Aparajita"/>
                <w:sz w:val="24"/>
                <w:szCs w:val="24"/>
              </w:rPr>
            </w:pPr>
            <w:r>
              <w:rPr>
                <w:rFonts w:cs="Aparajita"/>
                <w:sz w:val="24"/>
                <w:szCs w:val="24"/>
              </w:rPr>
              <w:t>-</w:t>
            </w:r>
          </w:p>
        </w:tc>
        <w:tc>
          <w:tcPr>
            <w:tcW w:w="1874" w:type="dxa"/>
          </w:tcPr>
          <w:p w:rsidR="007335FD" w:rsidRDefault="00815898">
            <w:pPr>
              <w:spacing w:line="360" w:lineRule="auto"/>
              <w:jc w:val="center"/>
              <w:rPr>
                <w:rFonts w:cs="Aparajita"/>
                <w:sz w:val="24"/>
                <w:szCs w:val="24"/>
              </w:rPr>
            </w:pPr>
            <w:r>
              <w:rPr>
                <w:rFonts w:cs="Aparajita"/>
                <w:sz w:val="24"/>
                <w:szCs w:val="24"/>
              </w:rPr>
              <w:t>-</w:t>
            </w:r>
          </w:p>
        </w:tc>
      </w:tr>
      <w:tr w:rsidR="007335FD">
        <w:tc>
          <w:tcPr>
            <w:tcW w:w="705" w:type="dxa"/>
          </w:tcPr>
          <w:p w:rsidR="007335FD" w:rsidRDefault="00815898">
            <w:pPr>
              <w:spacing w:line="360" w:lineRule="auto"/>
              <w:jc w:val="center"/>
              <w:rPr>
                <w:rFonts w:cs="Aparajita"/>
                <w:sz w:val="24"/>
                <w:szCs w:val="24"/>
              </w:rPr>
            </w:pPr>
            <w:r>
              <w:rPr>
                <w:rFonts w:cs="Aparajita"/>
                <w:sz w:val="24"/>
                <w:szCs w:val="24"/>
              </w:rPr>
              <w:t>3</w:t>
            </w:r>
          </w:p>
        </w:tc>
        <w:tc>
          <w:tcPr>
            <w:tcW w:w="3009" w:type="dxa"/>
          </w:tcPr>
          <w:p w:rsidR="007335FD" w:rsidRDefault="00815898">
            <w:pPr>
              <w:spacing w:line="360" w:lineRule="auto"/>
              <w:jc w:val="both"/>
              <w:rPr>
                <w:rFonts w:cs="Aparajita"/>
                <w:sz w:val="24"/>
                <w:szCs w:val="24"/>
              </w:rPr>
            </w:pPr>
            <w:r>
              <w:rPr>
                <w:rFonts w:cs="Aparajita"/>
                <w:sz w:val="24"/>
                <w:szCs w:val="24"/>
              </w:rPr>
              <w:t>Konflik SARA</w:t>
            </w:r>
          </w:p>
        </w:tc>
        <w:tc>
          <w:tcPr>
            <w:tcW w:w="1408" w:type="dxa"/>
          </w:tcPr>
          <w:p w:rsidR="007335FD" w:rsidRDefault="007335FD">
            <w:pPr>
              <w:spacing w:line="360" w:lineRule="auto"/>
              <w:jc w:val="center"/>
              <w:rPr>
                <w:rFonts w:cs="Aparajita"/>
                <w:sz w:val="24"/>
                <w:szCs w:val="24"/>
              </w:rPr>
            </w:pPr>
          </w:p>
        </w:tc>
        <w:tc>
          <w:tcPr>
            <w:tcW w:w="1874" w:type="dxa"/>
          </w:tcPr>
          <w:p w:rsidR="007335FD" w:rsidRDefault="00815898">
            <w:pPr>
              <w:spacing w:line="360" w:lineRule="auto"/>
              <w:jc w:val="center"/>
              <w:rPr>
                <w:rFonts w:cs="Aparajita"/>
                <w:sz w:val="24"/>
                <w:szCs w:val="24"/>
              </w:rPr>
            </w:pPr>
            <w:r>
              <w:rPr>
                <w:rFonts w:cs="Aparajita"/>
                <w:sz w:val="24"/>
                <w:szCs w:val="24"/>
              </w:rPr>
              <w:t>-</w:t>
            </w:r>
          </w:p>
        </w:tc>
        <w:tc>
          <w:tcPr>
            <w:tcW w:w="1874" w:type="dxa"/>
          </w:tcPr>
          <w:p w:rsidR="007335FD" w:rsidRDefault="00815898">
            <w:pPr>
              <w:spacing w:line="360" w:lineRule="auto"/>
              <w:jc w:val="center"/>
              <w:rPr>
                <w:rFonts w:cs="Aparajita"/>
                <w:sz w:val="24"/>
                <w:szCs w:val="24"/>
              </w:rPr>
            </w:pPr>
            <w:r>
              <w:rPr>
                <w:rFonts w:cs="Aparajita"/>
                <w:sz w:val="24"/>
                <w:szCs w:val="24"/>
              </w:rPr>
              <w:t>-</w:t>
            </w:r>
          </w:p>
        </w:tc>
      </w:tr>
      <w:tr w:rsidR="007335FD">
        <w:tc>
          <w:tcPr>
            <w:tcW w:w="705" w:type="dxa"/>
            <w:tcBorders>
              <w:bottom w:val="single" w:sz="4" w:space="0" w:color="auto"/>
            </w:tcBorders>
          </w:tcPr>
          <w:p w:rsidR="007335FD" w:rsidRDefault="00815898">
            <w:pPr>
              <w:spacing w:line="360" w:lineRule="auto"/>
              <w:jc w:val="center"/>
              <w:rPr>
                <w:rFonts w:cs="Aparajita"/>
                <w:sz w:val="24"/>
                <w:szCs w:val="24"/>
              </w:rPr>
            </w:pPr>
            <w:r>
              <w:rPr>
                <w:rFonts w:cs="Aparajita"/>
                <w:sz w:val="24"/>
                <w:szCs w:val="24"/>
              </w:rPr>
              <w:t>4</w:t>
            </w:r>
          </w:p>
        </w:tc>
        <w:tc>
          <w:tcPr>
            <w:tcW w:w="3009" w:type="dxa"/>
            <w:tcBorders>
              <w:bottom w:val="single" w:sz="4" w:space="0" w:color="auto"/>
            </w:tcBorders>
          </w:tcPr>
          <w:p w:rsidR="007335FD" w:rsidRDefault="00815898">
            <w:pPr>
              <w:spacing w:line="360" w:lineRule="auto"/>
              <w:jc w:val="both"/>
              <w:rPr>
                <w:rFonts w:cs="Aparajita"/>
                <w:sz w:val="24"/>
                <w:szCs w:val="24"/>
              </w:rPr>
            </w:pPr>
            <w:r>
              <w:rPr>
                <w:rFonts w:cs="Aparajita"/>
                <w:sz w:val="24"/>
                <w:szCs w:val="24"/>
              </w:rPr>
              <w:t>Konflik Sumber Daya Alam</w:t>
            </w:r>
          </w:p>
        </w:tc>
        <w:tc>
          <w:tcPr>
            <w:tcW w:w="1408" w:type="dxa"/>
            <w:tcBorders>
              <w:bottom w:val="single" w:sz="4" w:space="0" w:color="auto"/>
            </w:tcBorders>
          </w:tcPr>
          <w:p w:rsidR="007335FD" w:rsidRDefault="00815898">
            <w:pPr>
              <w:spacing w:line="360" w:lineRule="auto"/>
              <w:jc w:val="center"/>
              <w:rPr>
                <w:rFonts w:cs="Aparajita"/>
                <w:sz w:val="24"/>
                <w:szCs w:val="24"/>
              </w:rPr>
            </w:pPr>
            <w:r>
              <w:rPr>
                <w:rFonts w:cs="Aparajita"/>
                <w:sz w:val="24"/>
                <w:szCs w:val="24"/>
              </w:rPr>
              <w:t>1 kasus</w:t>
            </w:r>
          </w:p>
        </w:tc>
        <w:tc>
          <w:tcPr>
            <w:tcW w:w="1874" w:type="dxa"/>
            <w:tcBorders>
              <w:bottom w:val="single" w:sz="4" w:space="0" w:color="auto"/>
            </w:tcBorders>
          </w:tcPr>
          <w:p w:rsidR="007335FD" w:rsidRDefault="00815898">
            <w:pPr>
              <w:spacing w:line="360" w:lineRule="auto"/>
              <w:jc w:val="center"/>
              <w:rPr>
                <w:rFonts w:cs="Aparajita"/>
                <w:sz w:val="24"/>
                <w:szCs w:val="24"/>
              </w:rPr>
            </w:pPr>
            <w:r>
              <w:rPr>
                <w:rFonts w:cs="Aparajita"/>
                <w:sz w:val="24"/>
                <w:szCs w:val="24"/>
              </w:rPr>
              <w:t>1 kasus</w:t>
            </w:r>
          </w:p>
        </w:tc>
        <w:tc>
          <w:tcPr>
            <w:tcW w:w="1874" w:type="dxa"/>
            <w:tcBorders>
              <w:bottom w:val="single" w:sz="4" w:space="0" w:color="auto"/>
            </w:tcBorders>
          </w:tcPr>
          <w:p w:rsidR="007335FD" w:rsidRDefault="00815898">
            <w:pPr>
              <w:spacing w:line="360" w:lineRule="auto"/>
              <w:jc w:val="center"/>
              <w:rPr>
                <w:rFonts w:cs="Aparajita"/>
                <w:sz w:val="24"/>
                <w:szCs w:val="24"/>
              </w:rPr>
            </w:pPr>
            <w:r>
              <w:rPr>
                <w:rFonts w:cs="Aparajita"/>
                <w:sz w:val="24"/>
                <w:szCs w:val="24"/>
              </w:rPr>
              <w:t>2 kasus</w:t>
            </w:r>
          </w:p>
        </w:tc>
      </w:tr>
      <w:tr w:rsidR="007335FD">
        <w:tc>
          <w:tcPr>
            <w:tcW w:w="3714" w:type="dxa"/>
            <w:gridSpan w:val="2"/>
            <w:shd w:val="clear" w:color="auto" w:fill="C00000"/>
          </w:tcPr>
          <w:p w:rsidR="007335FD" w:rsidRDefault="00815898">
            <w:pPr>
              <w:spacing w:line="360" w:lineRule="auto"/>
              <w:jc w:val="center"/>
              <w:rPr>
                <w:rFonts w:cs="Aparajita"/>
                <w:b/>
                <w:sz w:val="24"/>
                <w:szCs w:val="24"/>
              </w:rPr>
            </w:pPr>
            <w:r>
              <w:rPr>
                <w:rFonts w:cs="Aparajita"/>
                <w:b/>
                <w:sz w:val="24"/>
                <w:szCs w:val="24"/>
              </w:rPr>
              <w:t>Total</w:t>
            </w:r>
          </w:p>
        </w:tc>
        <w:tc>
          <w:tcPr>
            <w:tcW w:w="1408" w:type="dxa"/>
            <w:shd w:val="clear" w:color="auto" w:fill="C00000"/>
          </w:tcPr>
          <w:p w:rsidR="007335FD" w:rsidRDefault="00815898">
            <w:pPr>
              <w:spacing w:line="360" w:lineRule="auto"/>
              <w:jc w:val="center"/>
              <w:rPr>
                <w:rFonts w:cs="Aparajita"/>
                <w:b/>
                <w:sz w:val="24"/>
                <w:szCs w:val="24"/>
              </w:rPr>
            </w:pPr>
            <w:r>
              <w:rPr>
                <w:rFonts w:cs="Aparajita"/>
                <w:b/>
                <w:sz w:val="24"/>
                <w:szCs w:val="24"/>
              </w:rPr>
              <w:t>4 kasus</w:t>
            </w:r>
          </w:p>
        </w:tc>
        <w:tc>
          <w:tcPr>
            <w:tcW w:w="1874" w:type="dxa"/>
            <w:shd w:val="clear" w:color="auto" w:fill="C00000"/>
          </w:tcPr>
          <w:p w:rsidR="007335FD" w:rsidRDefault="00815898">
            <w:pPr>
              <w:spacing w:line="360" w:lineRule="auto"/>
              <w:jc w:val="center"/>
              <w:rPr>
                <w:rFonts w:cs="Aparajita"/>
                <w:b/>
                <w:sz w:val="24"/>
                <w:szCs w:val="24"/>
              </w:rPr>
            </w:pPr>
            <w:r>
              <w:rPr>
                <w:rFonts w:cs="Aparajita"/>
                <w:b/>
                <w:sz w:val="24"/>
                <w:szCs w:val="24"/>
              </w:rPr>
              <w:t>3 kasus</w:t>
            </w:r>
          </w:p>
        </w:tc>
        <w:tc>
          <w:tcPr>
            <w:tcW w:w="1874" w:type="dxa"/>
            <w:shd w:val="clear" w:color="auto" w:fill="C00000"/>
          </w:tcPr>
          <w:p w:rsidR="007335FD" w:rsidRDefault="00815898">
            <w:pPr>
              <w:spacing w:line="360" w:lineRule="auto"/>
              <w:jc w:val="center"/>
              <w:rPr>
                <w:rFonts w:cs="Aparajita"/>
                <w:b/>
                <w:sz w:val="24"/>
                <w:szCs w:val="24"/>
              </w:rPr>
            </w:pPr>
            <w:r>
              <w:rPr>
                <w:rFonts w:cs="Aparajita"/>
                <w:b/>
                <w:sz w:val="24"/>
                <w:szCs w:val="24"/>
              </w:rPr>
              <w:t>2 kasus</w:t>
            </w:r>
          </w:p>
        </w:tc>
      </w:tr>
    </w:tbl>
    <w:p w:rsidR="007335FD" w:rsidRDefault="00815898">
      <w:pPr>
        <w:autoSpaceDE w:val="0"/>
        <w:autoSpaceDN w:val="0"/>
        <w:adjustRightInd w:val="0"/>
        <w:spacing w:after="0" w:line="360" w:lineRule="auto"/>
        <w:ind w:leftChars="200" w:left="440" w:firstLineChars="50" w:firstLine="110"/>
        <w:jc w:val="both"/>
        <w:rPr>
          <w:rFonts w:cs="Arial"/>
          <w:bCs/>
          <w:i/>
          <w:iCs/>
        </w:rPr>
      </w:pPr>
      <w:proofErr w:type="gramStart"/>
      <w:r>
        <w:rPr>
          <w:rFonts w:cs="Arial"/>
          <w:bCs/>
          <w:i/>
          <w:iCs/>
        </w:rPr>
        <w:t>Sumber :</w:t>
      </w:r>
      <w:proofErr w:type="gramEnd"/>
      <w:r>
        <w:rPr>
          <w:rFonts w:cs="Arial"/>
          <w:bCs/>
          <w:i/>
          <w:iCs/>
        </w:rPr>
        <w:t xml:space="preserve"> Bidang Kewaspadaan Badan Kesbangpol Prov Sumbar</w:t>
      </w:r>
    </w:p>
    <w:p w:rsidR="007335FD" w:rsidRDefault="00815898">
      <w:pPr>
        <w:autoSpaceDE w:val="0"/>
        <w:autoSpaceDN w:val="0"/>
        <w:adjustRightInd w:val="0"/>
        <w:spacing w:after="0" w:line="360" w:lineRule="auto"/>
        <w:ind w:leftChars="200" w:left="440" w:firstLine="660"/>
        <w:jc w:val="both"/>
        <w:rPr>
          <w:rFonts w:cs="Arial"/>
          <w:b/>
          <w:sz w:val="24"/>
          <w:szCs w:val="24"/>
        </w:rPr>
      </w:pPr>
      <w:r>
        <w:rPr>
          <w:rFonts w:cs="Aparajita"/>
          <w:noProof/>
          <w:sz w:val="24"/>
          <w:szCs w:val="24"/>
        </w:rPr>
        <w:drawing>
          <wp:inline distT="0" distB="0" distL="0" distR="0">
            <wp:extent cx="4377055" cy="2544445"/>
            <wp:effectExtent l="19050" t="19050" r="23495" b="273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335FD" w:rsidRDefault="00815898">
      <w:pPr>
        <w:autoSpaceDE w:val="0"/>
        <w:autoSpaceDN w:val="0"/>
        <w:adjustRightInd w:val="0"/>
        <w:spacing w:after="0" w:line="360" w:lineRule="auto"/>
        <w:ind w:leftChars="200" w:left="440" w:firstLine="660"/>
        <w:jc w:val="both"/>
        <w:rPr>
          <w:rFonts w:cs="Tahoma"/>
          <w:sz w:val="24"/>
          <w:szCs w:val="24"/>
          <w:lang w:val="id-ID"/>
        </w:rPr>
      </w:pPr>
      <w:proofErr w:type="gramStart"/>
      <w:r>
        <w:rPr>
          <w:rFonts w:cs="Arial"/>
          <w:bCs/>
          <w:sz w:val="24"/>
          <w:szCs w:val="24"/>
        </w:rPr>
        <w:lastRenderedPageBreak/>
        <w:t>Berdasarkan tabel di atas terjadi, konflik sosial di Sumatera Barat mengalami penurunan selama 3 tahun terakhir.</w:t>
      </w:r>
      <w:proofErr w:type="gramEnd"/>
      <w:r>
        <w:rPr>
          <w:rFonts w:cs="Arial"/>
          <w:bCs/>
          <w:sz w:val="24"/>
          <w:szCs w:val="24"/>
        </w:rPr>
        <w:t xml:space="preserve"> Pada tahun 2017 terjadi 3 konflik sosial yaitu konflik lahan/tanah ulayat sebanyak 2 kasus dan konflik Sumber Daya Alam sebanyak 1 kasus. Konflik lahan/tanah ulayat yang terjadi pada tahun 2017 adalah k</w:t>
      </w:r>
      <w:r>
        <w:rPr>
          <w:rFonts w:cs="Tahoma"/>
          <w:sz w:val="24"/>
          <w:szCs w:val="24"/>
          <w:lang w:val="id-ID"/>
        </w:rPr>
        <w:t xml:space="preserve">onflik antara masyarakat nagai Pilubang dengan nagari Taram, kecamatan Harau, </w:t>
      </w:r>
      <w:r>
        <w:rPr>
          <w:rFonts w:cs="Tahoma"/>
          <w:sz w:val="24"/>
          <w:szCs w:val="24"/>
        </w:rPr>
        <w:t>K</w:t>
      </w:r>
      <w:r>
        <w:rPr>
          <w:rFonts w:cs="Tahoma"/>
          <w:sz w:val="24"/>
          <w:szCs w:val="24"/>
          <w:lang w:val="id-ID"/>
        </w:rPr>
        <w:t>abupaten Lima Puluh Kota</w:t>
      </w:r>
      <w:r>
        <w:rPr>
          <w:rFonts w:cs="Tahoma"/>
          <w:sz w:val="24"/>
          <w:szCs w:val="24"/>
        </w:rPr>
        <w:t xml:space="preserve"> dan konflik </w:t>
      </w:r>
      <w:r>
        <w:rPr>
          <w:rFonts w:cs="Tahoma"/>
          <w:sz w:val="24"/>
          <w:szCs w:val="24"/>
          <w:lang w:val="id-ID"/>
        </w:rPr>
        <w:t>klaim tanah atas nama Lehar (waris Makboed) terhadap 765 hektare tanah di 6 kelurahan di Kota Padang.</w:t>
      </w:r>
      <w:r>
        <w:rPr>
          <w:rFonts w:cs="Tahoma"/>
          <w:sz w:val="24"/>
          <w:szCs w:val="24"/>
        </w:rPr>
        <w:t xml:space="preserve"> Adapun konflik Sumber Daya Alam yang terjadi pada tahun 2017 adalah k</w:t>
      </w:r>
      <w:r>
        <w:rPr>
          <w:rFonts w:cs="Tahoma"/>
          <w:sz w:val="24"/>
          <w:szCs w:val="24"/>
          <w:lang w:val="id-ID"/>
        </w:rPr>
        <w:t>onflik masyarakat Batu Bajanjang, kecamatan Talang, kabupaten Solok yang menuntut pemerintah kabupaten Solok untuk membatalkan rencana pembangunan geotermal (pembangkit listrik tenaga uap) di daerah Batu Bajanjang.</w:t>
      </w:r>
    </w:p>
    <w:p w:rsidR="007335FD" w:rsidRDefault="00815898">
      <w:pPr>
        <w:autoSpaceDE w:val="0"/>
        <w:autoSpaceDN w:val="0"/>
        <w:adjustRightInd w:val="0"/>
        <w:spacing w:after="0" w:line="360" w:lineRule="auto"/>
        <w:ind w:leftChars="200" w:left="440" w:firstLine="660"/>
        <w:jc w:val="both"/>
        <w:rPr>
          <w:rFonts w:cs="Arial"/>
          <w:bCs/>
          <w:sz w:val="24"/>
          <w:szCs w:val="24"/>
        </w:rPr>
      </w:pPr>
      <w:proofErr w:type="gramStart"/>
      <w:r>
        <w:rPr>
          <w:rFonts w:cs="Tahoma"/>
          <w:sz w:val="24"/>
          <w:szCs w:val="24"/>
        </w:rPr>
        <w:t xml:space="preserve">Konflik sosial yang terjadi pada tahun 2018 sebanyak </w:t>
      </w:r>
      <w:r>
        <w:rPr>
          <w:rFonts w:cs="Arial"/>
          <w:bCs/>
          <w:sz w:val="24"/>
          <w:szCs w:val="24"/>
        </w:rPr>
        <w:t>2 kasus yang keduanya merupakan konflik sumber daya alam.</w:t>
      </w:r>
      <w:proofErr w:type="gramEnd"/>
      <w:r>
        <w:rPr>
          <w:rFonts w:cs="Arial"/>
          <w:bCs/>
          <w:sz w:val="24"/>
          <w:szCs w:val="24"/>
        </w:rPr>
        <w:t xml:space="preserve"> Adapun rangkuman dari konflik yang terjadi di Sumatera Barat pada tahun 2018 </w:t>
      </w:r>
      <w:proofErr w:type="gramStart"/>
      <w:r>
        <w:rPr>
          <w:rFonts w:cs="Arial"/>
          <w:bCs/>
          <w:sz w:val="24"/>
          <w:szCs w:val="24"/>
        </w:rPr>
        <w:t>yaitu :</w:t>
      </w:r>
      <w:proofErr w:type="gramEnd"/>
    </w:p>
    <w:p w:rsidR="007335FD" w:rsidRDefault="00815898" w:rsidP="00815898">
      <w:pPr>
        <w:pStyle w:val="ListParagraph"/>
        <w:numPr>
          <w:ilvl w:val="0"/>
          <w:numId w:val="43"/>
        </w:numPr>
        <w:tabs>
          <w:tab w:val="clear" w:pos="425"/>
        </w:tabs>
        <w:spacing w:line="360" w:lineRule="auto"/>
        <w:ind w:leftChars="204" w:left="891" w:hangingChars="184" w:hanging="442"/>
        <w:jc w:val="both"/>
        <w:rPr>
          <w:rFonts w:ascii="Calibri" w:eastAsia="SimSun" w:hAnsi="Palatino Linotype" w:cs="Palatino Linotype"/>
          <w:sz w:val="24"/>
          <w:szCs w:val="24"/>
        </w:rPr>
      </w:pPr>
      <w:r>
        <w:rPr>
          <w:rFonts w:ascii="Calibri" w:eastAsia="SimSun" w:hAnsi="Palatino Linotype" w:cs="Palatino Linotype"/>
          <w:sz w:val="24"/>
          <w:szCs w:val="24"/>
        </w:rPr>
        <w:t xml:space="preserve">Konflik antar aparat Kepolisian Resor (Polres) Pasaman dengan masyarakat Simpang Tonang Kabupaten Pasaman. Konflik dipicu adanya kegiatan tambang emas oleh PT Inexo Jaya Mandiri (IJM). Berawal dari adanya penolakan warga terhadap kendaraan pembawa semen menuju lokasi tambang yang diduga untuk membangun </w:t>
      </w:r>
      <w:r>
        <w:rPr>
          <w:rFonts w:ascii="Calibri" w:eastAsia="SimSun" w:hAnsi="Palatino Linotype" w:cs="Palatino Linotype"/>
          <w:i/>
          <w:sz w:val="24"/>
          <w:szCs w:val="24"/>
        </w:rPr>
        <w:t>basecamp</w:t>
      </w:r>
      <w:r>
        <w:rPr>
          <w:rFonts w:ascii="Calibri" w:eastAsia="SimSun" w:hAnsi="Palatino Linotype" w:cs="Palatino Linotype"/>
          <w:sz w:val="24"/>
          <w:szCs w:val="24"/>
        </w:rPr>
        <w:t xml:space="preserve"> dilokasi tambang, yang dikawal oleh Polres Pasaman. Warga melakukan penghadangan dan penghentian terhadap kendaraan aparat kepolisian sehingga aparat mengamankan puluhan orang. Tak berhenti disitu, sekitar 100 </w:t>
      </w:r>
      <w:proofErr w:type="gramStart"/>
      <w:r>
        <w:rPr>
          <w:rFonts w:ascii="Calibri" w:eastAsia="SimSun" w:hAnsi="Palatino Linotype" w:cs="Palatino Linotype"/>
          <w:sz w:val="24"/>
          <w:szCs w:val="24"/>
        </w:rPr>
        <w:t>massa</w:t>
      </w:r>
      <w:proofErr w:type="gramEnd"/>
      <w:r>
        <w:rPr>
          <w:rFonts w:ascii="Calibri" w:eastAsia="SimSun" w:hAnsi="Palatino Linotype" w:cs="Palatino Linotype"/>
          <w:sz w:val="24"/>
          <w:szCs w:val="24"/>
        </w:rPr>
        <w:t xml:space="preserve"> juga melakukan pembakaran terhadap </w:t>
      </w:r>
      <w:r>
        <w:rPr>
          <w:rFonts w:ascii="Calibri" w:eastAsia="SimSun" w:hAnsi="Palatino Linotype" w:cs="Palatino Linotype"/>
          <w:i/>
          <w:sz w:val="24"/>
          <w:szCs w:val="24"/>
        </w:rPr>
        <w:t>basecamp</w:t>
      </w:r>
      <w:r>
        <w:rPr>
          <w:rFonts w:ascii="Calibri" w:eastAsia="SimSun" w:hAnsi="Palatino Linotype" w:cs="Palatino Linotype"/>
          <w:sz w:val="24"/>
          <w:szCs w:val="24"/>
        </w:rPr>
        <w:t xml:space="preserve"> dan kendaraan aparat kepolisian, serta memutus badan jalan di daerah tersebut. Kejadian ini berlanjut ke ranah hukum yang berujung dengan penahanan terhadap 5 warga Simpang Tonang. Hingga saat ini, pemerintah setempat bersama pemerintah Provinsi Sumatera Barat terus berupaya untuk melakukan upaya pemulihan pasca konflik.</w:t>
      </w:r>
    </w:p>
    <w:p w:rsidR="007335FD" w:rsidRDefault="00815898" w:rsidP="00815898">
      <w:pPr>
        <w:pStyle w:val="ListParagraph"/>
        <w:numPr>
          <w:ilvl w:val="0"/>
          <w:numId w:val="43"/>
        </w:numPr>
        <w:spacing w:line="360" w:lineRule="auto"/>
        <w:ind w:leftChars="204" w:left="891" w:hangingChars="184" w:hanging="442"/>
        <w:jc w:val="both"/>
        <w:rPr>
          <w:rFonts w:cs="Arial"/>
          <w:bCs/>
          <w:sz w:val="24"/>
          <w:szCs w:val="24"/>
        </w:rPr>
      </w:pPr>
      <w:r>
        <w:rPr>
          <w:rFonts w:ascii="Calibri" w:eastAsia="SimSun" w:hAnsi="Palatino Linotype" w:cs="Palatino Linotype"/>
          <w:sz w:val="24"/>
          <w:szCs w:val="24"/>
        </w:rPr>
        <w:t xml:space="preserve">Konflik yang dilatarbelakangi oleh adanya pembangunan pembangkit listrik tenaga panas bumi (geothermal) oleh PT Hitay Daya Energi (HDE) di Gunung Talang, Kecamatan Lembang Jaya, Kabupaten Solok. Konflik terjadi antara masyarakat Nagari Salingka Gunung Talang yang sejak awal telah melakukan aksi aksi penolakan terhadap rencana pembangunan geothermal tersebut, dengan pemerintah kabupaten Solok, kepolisian resor (Polres) Arosuka, serta PT HDE. Pada tahun 2017, masyarakat </w:t>
      </w:r>
      <w:r>
        <w:rPr>
          <w:rFonts w:ascii="Calibri" w:eastAsia="SimSun" w:hAnsi="Palatino Linotype" w:cs="Palatino Linotype"/>
          <w:sz w:val="24"/>
          <w:szCs w:val="24"/>
        </w:rPr>
        <w:lastRenderedPageBreak/>
        <w:t>setempat melakukan aksi anarkis berupa pengrusakan 1 unit kendaraan milik PT HDE yang tengah melakukan peninjauan ke lokasi pembangunan. Akibat pengrusakan tersebut, vonis hakim dijatuhkan pada tersangka pelaku pengrusakan. Pada Maret 2018, masyarakat kembali melakukan penghadangan terhadap rombongan pemkab Solok dan PT HDE yang melakukan peninjauan ke lokasi. Masyarakat melakukan aksi penyerangan terhadap aparat kepolisian yang ikut serta dalam peninjauan tersebut. Pemerintah setempat terus berupaya melakukan sosialisasi kepada masyarakat nagari Salingka terkait pembangunan geothermal dimaksud sehingga saat ini kondisi telah relatif kondusif.</w:t>
      </w:r>
    </w:p>
    <w:p w:rsidR="007335FD" w:rsidRDefault="00815898">
      <w:pPr>
        <w:pStyle w:val="ListParagraph"/>
        <w:spacing w:line="360" w:lineRule="auto"/>
        <w:ind w:leftChars="200" w:left="440" w:firstLine="720"/>
        <w:jc w:val="both"/>
        <w:rPr>
          <w:rStyle w:val="NoSpacingChar"/>
          <w:sz w:val="24"/>
          <w:szCs w:val="24"/>
        </w:rPr>
      </w:pPr>
      <w:r>
        <w:rPr>
          <w:rStyle w:val="NoSpacingChar"/>
          <w:sz w:val="24"/>
          <w:szCs w:val="24"/>
        </w:rPr>
        <w:t xml:space="preserve">Persentase penurunan konflik sosial di Sumbar diukur dari perbandingan jumlah konflik sosial yang terjadi di Sumbar tahun 2018 dengan jumlah konflik sosial yang terjadi di Sumbar tahun sebelumnya. </w:t>
      </w:r>
      <w:proofErr w:type="gramStart"/>
      <w:r>
        <w:rPr>
          <w:rStyle w:val="NoSpacingChar"/>
          <w:sz w:val="24"/>
          <w:szCs w:val="24"/>
        </w:rPr>
        <w:t>Sumber data diperolah dari hasil monitoring dan pengawasan yang dilaksanakan oleh Badan Kesbangpol Provinsi Sumatera Barat ke kab/kota se-Sumatera Barat.</w:t>
      </w:r>
      <w:proofErr w:type="gramEnd"/>
      <w:r>
        <w:rPr>
          <w:rStyle w:val="NoSpacingChar"/>
          <w:sz w:val="24"/>
          <w:szCs w:val="24"/>
        </w:rPr>
        <w:t xml:space="preserve"> </w:t>
      </w:r>
    </w:p>
    <w:p w:rsidR="007335FD" w:rsidRDefault="00815898">
      <w:pPr>
        <w:pStyle w:val="ListParagraph"/>
        <w:spacing w:line="360" w:lineRule="auto"/>
        <w:ind w:leftChars="200" w:left="440" w:firstLine="720"/>
        <w:jc w:val="both"/>
        <w:rPr>
          <w:rFonts w:cs="Aparajita"/>
          <w:sz w:val="24"/>
          <w:szCs w:val="24"/>
        </w:rPr>
      </w:pPr>
      <w:r>
        <w:rPr>
          <w:rFonts w:cs="Aparajita"/>
          <w:sz w:val="24"/>
          <w:szCs w:val="24"/>
        </w:rPr>
        <w:t>Adapun t</w:t>
      </w:r>
      <w:r>
        <w:rPr>
          <w:rFonts w:eastAsia="Batang" w:cs="Aparajita"/>
          <w:sz w:val="24"/>
          <w:szCs w:val="24"/>
        </w:rPr>
        <w:t xml:space="preserve">ingkat capaian kinerja diperoleh dengan menggunakan rumus </w:t>
      </w:r>
      <w:proofErr w:type="gramStart"/>
      <w:r>
        <w:rPr>
          <w:rFonts w:eastAsia="Batang" w:cs="Aparajita"/>
          <w:sz w:val="24"/>
          <w:szCs w:val="24"/>
        </w:rPr>
        <w:t>berikut :</w:t>
      </w:r>
      <w:proofErr w:type="gramEnd"/>
    </w:p>
    <w:p w:rsidR="007335FD" w:rsidRDefault="00851EC5">
      <w:pPr>
        <w:pStyle w:val="ListParagraph"/>
        <w:spacing w:line="360" w:lineRule="auto"/>
        <w:jc w:val="both"/>
        <w:rPr>
          <w:rFonts w:ascii="Aparajita" w:eastAsia="Batang" w:hAnsi="Aparajita" w:cs="Aparajita"/>
          <w:sz w:val="24"/>
          <w:szCs w:val="24"/>
        </w:rPr>
      </w:pPr>
      <w:r>
        <w:rPr>
          <w:rFonts w:ascii="Aparajita" w:eastAsia="Batang" w:hAnsi="Aparajita" w:cs="Aparajita"/>
          <w:sz w:val="24"/>
          <w:szCs w:val="24"/>
        </w:rPr>
        <w:pict>
          <v:rect id="_x0000_s1118" style="position:absolute;left:0;text-align:left;margin-left:57pt;margin-top:4.1pt;width:354.75pt;height:41.1pt;z-index:276976640;mso-width-relative:page;mso-height-relative:page" filled="f" strokecolor="#c00000" strokeweight="3pt">
            <v:shadow on="t" color="#632523" opacity=".5" offset="1pt"/>
            <v:textbox>
              <w:txbxContent>
                <w:p w:rsidR="00815898" w:rsidRDefault="00815898">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15898" w:rsidRDefault="00815898">
                  <w:pPr>
                    <w:jc w:val="center"/>
                  </w:pPr>
                </w:p>
                <w:p w:rsidR="00815898" w:rsidRDefault="00815898">
                  <w:pPr>
                    <w:jc w:val="center"/>
                    <w:rPr>
                      <w:rFonts w:ascii="Berlin Sans FB" w:hAnsi="Berlin Sans FB"/>
                      <w:sz w:val="24"/>
                      <w:szCs w:val="24"/>
                    </w:rPr>
                  </w:pPr>
                </w:p>
              </w:txbxContent>
            </v:textbox>
          </v:rect>
        </w:pict>
      </w:r>
    </w:p>
    <w:p w:rsidR="007335FD" w:rsidRDefault="007335FD">
      <w:pPr>
        <w:pStyle w:val="ListParagraph"/>
        <w:spacing w:line="360" w:lineRule="auto"/>
        <w:jc w:val="both"/>
        <w:rPr>
          <w:rFonts w:ascii="Aparajita" w:eastAsia="Batang" w:hAnsi="Aparajita" w:cs="Aparajita"/>
          <w:sz w:val="24"/>
          <w:szCs w:val="24"/>
        </w:rPr>
      </w:pPr>
    </w:p>
    <w:p w:rsidR="007335FD" w:rsidRDefault="00815898">
      <w:pPr>
        <w:pStyle w:val="ListParagraph"/>
        <w:spacing w:line="360" w:lineRule="auto"/>
        <w:ind w:firstLine="720"/>
        <w:jc w:val="both"/>
        <w:rPr>
          <w:rFonts w:eastAsia="Batang" w:cs="Aparajita"/>
          <w:sz w:val="24"/>
          <w:szCs w:val="24"/>
        </w:rPr>
      </w:pPr>
      <w:proofErr w:type="gramStart"/>
      <w:r>
        <w:rPr>
          <w:rFonts w:eastAsia="Batang" w:cs="Aparajita"/>
          <w:sz w:val="24"/>
          <w:szCs w:val="24"/>
        </w:rPr>
        <w:t>Capaian  Indikator</w:t>
      </w:r>
      <w:proofErr w:type="gramEnd"/>
      <w:r>
        <w:rPr>
          <w:rFonts w:eastAsia="Batang" w:cs="Aparajita"/>
          <w:sz w:val="24"/>
          <w:szCs w:val="24"/>
        </w:rPr>
        <w:t xml:space="preserve"> Kinerja = </w:t>
      </w:r>
      <w:r>
        <w:rPr>
          <w:rFonts w:eastAsia="Batang" w:cs="Aparajita"/>
          <w:position w:val="-24"/>
          <w:sz w:val="24"/>
          <w:szCs w:val="24"/>
        </w:rPr>
        <w:object w:dxaOrig="1040" w:dyaOrig="620">
          <v:shape id="_x0000_i1028" type="#_x0000_t75" style="width:51.75pt;height:30.75pt" o:ole="">
            <v:imagedata r:id="rId40" o:title=""/>
          </v:shape>
          <o:OLEObject Type="Embed" ProgID="Equation.3" ShapeID="_x0000_i1028" DrawAspect="Content" ObjectID="_1621771243" r:id="rId41"/>
        </w:object>
      </w:r>
      <w:r>
        <w:rPr>
          <w:rFonts w:eastAsia="Batang" w:cs="Aparajita"/>
          <w:sz w:val="24"/>
          <w:szCs w:val="24"/>
        </w:rPr>
        <w:t>= 660%</w:t>
      </w:r>
    </w:p>
    <w:p w:rsidR="007335FD" w:rsidRDefault="00815898">
      <w:pPr>
        <w:pStyle w:val="ListParagraph"/>
        <w:spacing w:line="360" w:lineRule="auto"/>
        <w:ind w:leftChars="200" w:left="440" w:firstLine="720"/>
        <w:jc w:val="both"/>
        <w:rPr>
          <w:rFonts w:cs="Arial"/>
          <w:bCs/>
          <w:sz w:val="24"/>
          <w:szCs w:val="24"/>
        </w:rPr>
      </w:pPr>
      <w:r>
        <w:rPr>
          <w:rStyle w:val="NoSpacingChar"/>
          <w:sz w:val="24"/>
          <w:szCs w:val="24"/>
        </w:rPr>
        <w:t>Jika dibandingkan dengan tahun-tahun sebelumnya, realisasi persentase penurunan konflik sosial dan capaian indikator kinerja persentase penurunan konflik sosial di Sumbar selama tahun 2016 s.d tahun 2018, mengalami trend peningkatan, sebagaimana dijelaskan pada tabel beriku</w:t>
      </w:r>
      <w:r>
        <w:rPr>
          <w:rFonts w:cs="Arial"/>
          <w:bCs/>
          <w:sz w:val="24"/>
          <w:szCs w:val="24"/>
        </w:rPr>
        <w:t>t :</w:t>
      </w:r>
    </w:p>
    <w:p w:rsidR="007335FD" w:rsidRDefault="00815898">
      <w:pPr>
        <w:pStyle w:val="NoSpacing"/>
        <w:jc w:val="center"/>
        <w:rPr>
          <w:rFonts w:hAnsi="Berlin Sans FB Demi"/>
          <w:b/>
          <w:bCs/>
          <w:sz w:val="24"/>
          <w:szCs w:val="24"/>
        </w:rPr>
      </w:pPr>
      <w:r>
        <w:rPr>
          <w:rFonts w:hAnsi="Berlin Sans FB Demi"/>
          <w:b/>
          <w:bCs/>
          <w:sz w:val="24"/>
          <w:szCs w:val="24"/>
        </w:rPr>
        <w:t>Tabel 3.15</w:t>
      </w:r>
    </w:p>
    <w:p w:rsidR="007335FD" w:rsidRDefault="00815898">
      <w:pPr>
        <w:pStyle w:val="NoSpacing"/>
        <w:jc w:val="center"/>
        <w:rPr>
          <w:rFonts w:hAnsi="Berlin Sans FB Demi"/>
          <w:b/>
          <w:bCs/>
          <w:sz w:val="24"/>
          <w:szCs w:val="24"/>
        </w:rPr>
      </w:pPr>
      <w:r>
        <w:rPr>
          <w:rFonts w:hAnsi="Berlin Sans FB Demi"/>
          <w:b/>
          <w:bCs/>
          <w:sz w:val="24"/>
          <w:szCs w:val="24"/>
        </w:rPr>
        <w:t>Realisasi dan Capaian Indikator Kinerja Persentase Penurunan Konflik Sosial di Sumbar</w:t>
      </w:r>
    </w:p>
    <w:p w:rsidR="007335FD" w:rsidRDefault="00815898">
      <w:pPr>
        <w:pStyle w:val="NoSpacing"/>
        <w:jc w:val="center"/>
        <w:rPr>
          <w:rFonts w:hAnsi="Berlin Sans FB Demi"/>
          <w:b/>
          <w:bCs/>
          <w:sz w:val="24"/>
          <w:szCs w:val="24"/>
        </w:rPr>
      </w:pPr>
      <w:r>
        <w:rPr>
          <w:rFonts w:hAnsi="Berlin Sans FB Demi"/>
          <w:b/>
          <w:bCs/>
          <w:sz w:val="24"/>
          <w:szCs w:val="24"/>
        </w:rPr>
        <w:t>Tahun 2016-2018</w:t>
      </w:r>
    </w:p>
    <w:tbl>
      <w:tblPr>
        <w:tblStyle w:val="TableGrid"/>
        <w:tblpPr w:leftFromText="180" w:rightFromText="180" w:vertAnchor="text" w:horzAnchor="page" w:tblpX="2114" w:tblpY="229"/>
        <w:tblOverlap w:val="never"/>
        <w:tblW w:w="8561" w:type="dxa"/>
        <w:tblLayout w:type="fixed"/>
        <w:tblLook w:val="04A0" w:firstRow="1" w:lastRow="0" w:firstColumn="1" w:lastColumn="0" w:noHBand="0" w:noVBand="1"/>
      </w:tblPr>
      <w:tblGrid>
        <w:gridCol w:w="743"/>
        <w:gridCol w:w="2189"/>
        <w:gridCol w:w="950"/>
        <w:gridCol w:w="1138"/>
        <w:gridCol w:w="987"/>
        <w:gridCol w:w="900"/>
        <w:gridCol w:w="788"/>
        <w:gridCol w:w="866"/>
      </w:tblGrid>
      <w:tr w:rsidR="007335FD">
        <w:tc>
          <w:tcPr>
            <w:tcW w:w="743"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No</w:t>
            </w:r>
          </w:p>
        </w:tc>
        <w:tc>
          <w:tcPr>
            <w:tcW w:w="2189"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Indikator Kinerja</w:t>
            </w:r>
          </w:p>
        </w:tc>
        <w:tc>
          <w:tcPr>
            <w:tcW w:w="3075" w:type="dxa"/>
            <w:gridSpan w:val="3"/>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Realisasi</w:t>
            </w:r>
          </w:p>
        </w:tc>
        <w:tc>
          <w:tcPr>
            <w:tcW w:w="2554" w:type="dxa"/>
            <w:gridSpan w:val="3"/>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Capaian</w:t>
            </w:r>
          </w:p>
        </w:tc>
      </w:tr>
      <w:tr w:rsidR="007335FD">
        <w:tc>
          <w:tcPr>
            <w:tcW w:w="743"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sz w:val="24"/>
                <w:szCs w:val="24"/>
              </w:rPr>
            </w:pPr>
          </w:p>
        </w:tc>
        <w:tc>
          <w:tcPr>
            <w:tcW w:w="2189"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sz w:val="24"/>
                <w:szCs w:val="24"/>
              </w:rPr>
            </w:pPr>
          </w:p>
        </w:tc>
        <w:tc>
          <w:tcPr>
            <w:tcW w:w="950" w:type="dxa"/>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2016</w:t>
            </w:r>
          </w:p>
        </w:tc>
        <w:tc>
          <w:tcPr>
            <w:tcW w:w="1138" w:type="dxa"/>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2017</w:t>
            </w:r>
          </w:p>
        </w:tc>
        <w:tc>
          <w:tcPr>
            <w:tcW w:w="987"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2018</w:t>
            </w:r>
          </w:p>
        </w:tc>
        <w:tc>
          <w:tcPr>
            <w:tcW w:w="900"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2016</w:t>
            </w:r>
          </w:p>
        </w:tc>
        <w:tc>
          <w:tcPr>
            <w:tcW w:w="788"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2017</w:t>
            </w:r>
          </w:p>
        </w:tc>
        <w:tc>
          <w:tcPr>
            <w:tcW w:w="866"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2018</w:t>
            </w:r>
          </w:p>
        </w:tc>
      </w:tr>
      <w:tr w:rsidR="007335FD">
        <w:trPr>
          <w:trHeight w:val="275"/>
        </w:trPr>
        <w:tc>
          <w:tcPr>
            <w:tcW w:w="743" w:type="dxa"/>
          </w:tcPr>
          <w:p w:rsidR="007335FD" w:rsidRDefault="00815898">
            <w:pPr>
              <w:pStyle w:val="ListParagraph"/>
              <w:spacing w:line="360" w:lineRule="auto"/>
              <w:ind w:left="0"/>
              <w:jc w:val="center"/>
              <w:rPr>
                <w:rFonts w:hAnsi="Rockwell"/>
                <w:sz w:val="24"/>
                <w:szCs w:val="24"/>
              </w:rPr>
            </w:pPr>
            <w:r>
              <w:rPr>
                <w:rFonts w:hAnsi="Rockwell"/>
                <w:sz w:val="24"/>
                <w:szCs w:val="24"/>
              </w:rPr>
              <w:t>1</w:t>
            </w:r>
          </w:p>
        </w:tc>
        <w:tc>
          <w:tcPr>
            <w:tcW w:w="2189" w:type="dxa"/>
          </w:tcPr>
          <w:p w:rsidR="007335FD" w:rsidRDefault="00815898">
            <w:pPr>
              <w:pStyle w:val="NoSpacing"/>
              <w:jc w:val="left"/>
              <w:rPr>
                <w:sz w:val="24"/>
                <w:szCs w:val="24"/>
              </w:rPr>
            </w:pPr>
            <w:r>
              <w:rPr>
                <w:sz w:val="24"/>
                <w:szCs w:val="24"/>
              </w:rPr>
              <w:t>Persentase penurunan konflik sosial di Sumbar</w:t>
            </w:r>
          </w:p>
        </w:tc>
        <w:tc>
          <w:tcPr>
            <w:tcW w:w="950" w:type="dxa"/>
          </w:tcPr>
          <w:p w:rsidR="007335FD" w:rsidRDefault="00815898">
            <w:pPr>
              <w:pStyle w:val="ListParagraph"/>
              <w:spacing w:line="360" w:lineRule="auto"/>
              <w:ind w:left="0"/>
              <w:jc w:val="center"/>
              <w:rPr>
                <w:rFonts w:hAnsi="Rockwell"/>
                <w:sz w:val="24"/>
                <w:szCs w:val="24"/>
              </w:rPr>
            </w:pPr>
            <w:r>
              <w:rPr>
                <w:rFonts w:hAnsi="Rockwell"/>
                <w:sz w:val="24"/>
                <w:szCs w:val="24"/>
              </w:rPr>
              <w:t>20%</w:t>
            </w:r>
          </w:p>
        </w:tc>
        <w:tc>
          <w:tcPr>
            <w:tcW w:w="1138" w:type="dxa"/>
          </w:tcPr>
          <w:p w:rsidR="007335FD" w:rsidRDefault="00815898">
            <w:pPr>
              <w:pStyle w:val="ListParagraph"/>
              <w:spacing w:line="360" w:lineRule="auto"/>
              <w:ind w:left="0"/>
              <w:jc w:val="center"/>
              <w:rPr>
                <w:rFonts w:hAnsi="Rockwell"/>
                <w:sz w:val="24"/>
                <w:szCs w:val="24"/>
              </w:rPr>
            </w:pPr>
            <w:r>
              <w:rPr>
                <w:rFonts w:hAnsi="Rockwell"/>
                <w:sz w:val="24"/>
                <w:szCs w:val="24"/>
              </w:rPr>
              <w:t>25%</w:t>
            </w:r>
          </w:p>
        </w:tc>
        <w:tc>
          <w:tcPr>
            <w:tcW w:w="987" w:type="dxa"/>
          </w:tcPr>
          <w:p w:rsidR="007335FD" w:rsidRDefault="00815898">
            <w:pPr>
              <w:pStyle w:val="ListParagraph"/>
              <w:spacing w:line="360" w:lineRule="auto"/>
              <w:ind w:left="0"/>
              <w:jc w:val="center"/>
              <w:rPr>
                <w:rFonts w:hAnsi="Rockwell"/>
                <w:sz w:val="24"/>
                <w:szCs w:val="24"/>
              </w:rPr>
            </w:pPr>
            <w:r>
              <w:rPr>
                <w:rFonts w:hAnsi="Rockwell"/>
                <w:sz w:val="24"/>
                <w:szCs w:val="24"/>
              </w:rPr>
              <w:t>33%</w:t>
            </w:r>
          </w:p>
        </w:tc>
        <w:tc>
          <w:tcPr>
            <w:tcW w:w="900" w:type="dxa"/>
          </w:tcPr>
          <w:p w:rsidR="007335FD" w:rsidRDefault="00815898">
            <w:pPr>
              <w:pStyle w:val="ListParagraph"/>
              <w:spacing w:line="360" w:lineRule="auto"/>
              <w:ind w:left="0"/>
              <w:jc w:val="center"/>
              <w:rPr>
                <w:rFonts w:hAnsi="Rockwell"/>
                <w:sz w:val="24"/>
                <w:szCs w:val="24"/>
              </w:rPr>
            </w:pPr>
            <w:r>
              <w:rPr>
                <w:rFonts w:hAnsi="Rockwell"/>
                <w:sz w:val="24"/>
                <w:szCs w:val="24"/>
              </w:rPr>
              <w:t>400%</w:t>
            </w:r>
          </w:p>
        </w:tc>
        <w:tc>
          <w:tcPr>
            <w:tcW w:w="788" w:type="dxa"/>
          </w:tcPr>
          <w:p w:rsidR="007335FD" w:rsidRDefault="00815898">
            <w:pPr>
              <w:pStyle w:val="ListParagraph"/>
              <w:spacing w:line="360" w:lineRule="auto"/>
              <w:ind w:left="0"/>
              <w:jc w:val="center"/>
              <w:rPr>
                <w:rFonts w:hAnsi="Rockwell"/>
                <w:sz w:val="24"/>
                <w:szCs w:val="24"/>
              </w:rPr>
            </w:pPr>
            <w:r>
              <w:rPr>
                <w:rFonts w:hAnsi="Rockwell"/>
                <w:sz w:val="24"/>
                <w:szCs w:val="24"/>
              </w:rPr>
              <w:t>500%</w:t>
            </w:r>
          </w:p>
        </w:tc>
        <w:tc>
          <w:tcPr>
            <w:tcW w:w="866" w:type="dxa"/>
          </w:tcPr>
          <w:p w:rsidR="007335FD" w:rsidRDefault="00815898">
            <w:pPr>
              <w:pStyle w:val="ListParagraph"/>
              <w:spacing w:line="360" w:lineRule="auto"/>
              <w:ind w:left="0"/>
              <w:jc w:val="center"/>
              <w:rPr>
                <w:rFonts w:hAnsi="Rockwell"/>
                <w:sz w:val="24"/>
                <w:szCs w:val="24"/>
              </w:rPr>
            </w:pPr>
            <w:r>
              <w:rPr>
                <w:rFonts w:hAnsi="Rockwell"/>
                <w:sz w:val="24"/>
                <w:szCs w:val="24"/>
              </w:rPr>
              <w:t>660%</w:t>
            </w:r>
          </w:p>
        </w:tc>
      </w:tr>
    </w:tbl>
    <w:p w:rsidR="007335FD" w:rsidRDefault="007335FD">
      <w:pPr>
        <w:pStyle w:val="NoSpacing"/>
        <w:jc w:val="center"/>
        <w:rPr>
          <w:sz w:val="22"/>
          <w:szCs w:val="22"/>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ascii="Berlin Sans FB Demi" w:hAnsi="Berlin Sans FB Demi"/>
          <w:sz w:val="24"/>
          <w:szCs w:val="24"/>
        </w:rPr>
      </w:pP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 xml:space="preserve">Grafik </w:t>
      </w:r>
      <w:r>
        <w:rPr>
          <w:rFonts w:hAnsi="Berlin Sans FB Demi"/>
          <w:b/>
          <w:bCs/>
          <w:sz w:val="24"/>
          <w:szCs w:val="24"/>
        </w:rPr>
        <w:lastRenderedPageBreak/>
        <w:t>3.6</w:t>
      </w:r>
    </w:p>
    <w:p w:rsidR="007335FD" w:rsidRDefault="00815898">
      <w:pPr>
        <w:pStyle w:val="NoSpacing"/>
        <w:jc w:val="center"/>
        <w:rPr>
          <w:rFonts w:hAnsi="Berlin Sans FB Demi"/>
          <w:b/>
          <w:bCs/>
          <w:sz w:val="24"/>
          <w:szCs w:val="24"/>
        </w:rPr>
      </w:pPr>
      <w:r>
        <w:rPr>
          <w:rFonts w:hAnsi="Berlin Sans FB Demi"/>
          <w:b/>
          <w:bCs/>
          <w:sz w:val="24"/>
          <w:szCs w:val="24"/>
        </w:rPr>
        <w:t xml:space="preserve">Realisasi dan Capaian Indikator Kinerja Persentase Penurunan Konflik Sosial di Sumbar </w:t>
      </w:r>
    </w:p>
    <w:p w:rsidR="007335FD" w:rsidRDefault="00815898">
      <w:pPr>
        <w:pStyle w:val="NoSpacing"/>
        <w:jc w:val="center"/>
        <w:rPr>
          <w:rFonts w:hAnsi="Berlin Sans FB Demi"/>
          <w:b/>
          <w:bCs/>
          <w:sz w:val="24"/>
          <w:szCs w:val="24"/>
        </w:rPr>
      </w:pPr>
      <w:r>
        <w:rPr>
          <w:rFonts w:hAnsi="Berlin Sans FB Demi"/>
          <w:b/>
          <w:bCs/>
          <w:sz w:val="24"/>
          <w:szCs w:val="24"/>
        </w:rPr>
        <w:t>Tahun 2016-2018</w:t>
      </w:r>
    </w:p>
    <w:p w:rsidR="007335FD" w:rsidRDefault="00815898">
      <w:pPr>
        <w:pStyle w:val="ListParagraph"/>
        <w:spacing w:after="0" w:line="360" w:lineRule="auto"/>
        <w:ind w:left="426"/>
        <w:jc w:val="center"/>
        <w:rPr>
          <w:rFonts w:cs="Tahoma"/>
          <w:sz w:val="24"/>
          <w:szCs w:val="24"/>
        </w:rPr>
      </w:pPr>
      <w:r>
        <w:rPr>
          <w:rFonts w:cs="Tahoma"/>
          <w:noProof/>
          <w:sz w:val="24"/>
          <w:szCs w:val="24"/>
        </w:rPr>
        <w:drawing>
          <wp:inline distT="0" distB="0" distL="0" distR="0">
            <wp:extent cx="4252595" cy="2024380"/>
            <wp:effectExtent l="19050" t="19050" r="20955" b="266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335FD" w:rsidRDefault="007335FD">
      <w:pPr>
        <w:pStyle w:val="NoSpacing"/>
        <w:spacing w:line="360" w:lineRule="auto"/>
        <w:ind w:leftChars="200" w:left="440" w:firstLine="720"/>
        <w:rPr>
          <w:rFonts w:hAnsi="Berlin Sans FB Demi"/>
          <w:sz w:val="24"/>
          <w:szCs w:val="24"/>
        </w:rPr>
      </w:pPr>
    </w:p>
    <w:p w:rsidR="007335FD" w:rsidRDefault="00815898">
      <w:pPr>
        <w:pStyle w:val="NoSpacing"/>
        <w:spacing w:line="360" w:lineRule="auto"/>
        <w:ind w:leftChars="200" w:left="440" w:firstLine="720"/>
        <w:rPr>
          <w:rFonts w:hAnsi="Berlin Sans FB Demi"/>
          <w:sz w:val="24"/>
          <w:szCs w:val="24"/>
        </w:rPr>
      </w:pPr>
      <w:proofErr w:type="gramStart"/>
      <w:r>
        <w:rPr>
          <w:rFonts w:hAnsi="Berlin Sans FB Demi"/>
          <w:sz w:val="24"/>
          <w:szCs w:val="24"/>
        </w:rPr>
        <w:t>Capaian ini menunjukkan bahwa peran Badan Kesbangpol Provinsi Sumatera Barat dalam mewujudkan keamanan, ketentraman dan ketertiban masyarakat dapat dikatakan berhasil yang ditandai dengan menurunnya jumlah konflik sosial di Sumatera Barat selama 3 tahun terakhir.</w:t>
      </w:r>
      <w:proofErr w:type="gramEnd"/>
      <w:r>
        <w:rPr>
          <w:rFonts w:hAnsi="Berlin Sans FB Demi"/>
          <w:sz w:val="24"/>
          <w:szCs w:val="24"/>
        </w:rPr>
        <w:t xml:space="preserve"> Hal ini tidak terlepas dari peran </w:t>
      </w:r>
      <w:proofErr w:type="gramStart"/>
      <w:r>
        <w:rPr>
          <w:rFonts w:hAnsi="Berlin Sans FB Demi"/>
          <w:sz w:val="24"/>
          <w:szCs w:val="24"/>
        </w:rPr>
        <w:t>tim</w:t>
      </w:r>
      <w:proofErr w:type="gramEnd"/>
      <w:r>
        <w:rPr>
          <w:rFonts w:hAnsi="Berlin Sans FB Demi"/>
          <w:sz w:val="24"/>
          <w:szCs w:val="24"/>
        </w:rPr>
        <w:t xml:space="preserve"> dan forum-forum strategis yang dibentuk oleh Badan Kesbangpol Provinsi Sumatera Barat sebagai wadah informasi, komunikasi dan konsultasi dalam mendeteksi dan mengantisipasi permasalahan yang muncul di daerah. Selain itu, adanya koordinasi yang intensif dengan Forkopimda Provinsi, Kominda, tokoh masyarakat, tokoh agama, tokoh adat dan instansi terkait juga menjadi salah satu faktor pendukung keberhasilan pencapaian kinerja dalam rangka memberikan rekomendasi terkait persoalan-persoalan di daerah khususnya persoalan yang bisa memicu terjadinya konflik sosial yang terjadi di tengah-tengah masyarakat. </w:t>
      </w:r>
    </w:p>
    <w:p w:rsidR="007335FD" w:rsidRDefault="00815898">
      <w:pPr>
        <w:pStyle w:val="NoSpacing"/>
        <w:spacing w:line="360" w:lineRule="auto"/>
        <w:ind w:leftChars="200" w:left="440" w:firstLine="720"/>
        <w:rPr>
          <w:rFonts w:hAnsi="Berlin Sans FB Demi"/>
          <w:sz w:val="24"/>
          <w:szCs w:val="24"/>
        </w:rPr>
      </w:pPr>
      <w:r>
        <w:rPr>
          <w:rFonts w:hAnsi="Berlin Sans FB Demi"/>
          <w:sz w:val="24"/>
          <w:szCs w:val="24"/>
        </w:rPr>
        <w:t xml:space="preserve">Namun, dalam pencapaian kinerja ini terdapat hambatan atau permasalahan </w:t>
      </w:r>
      <w:proofErr w:type="gramStart"/>
      <w:r>
        <w:rPr>
          <w:rFonts w:hAnsi="Berlin Sans FB Demi"/>
          <w:sz w:val="24"/>
          <w:szCs w:val="24"/>
        </w:rPr>
        <w:t>diantaranya :</w:t>
      </w:r>
      <w:proofErr w:type="gramEnd"/>
    </w:p>
    <w:p w:rsidR="007335FD" w:rsidRDefault="00815898">
      <w:pPr>
        <w:pStyle w:val="NoSpacing"/>
        <w:numPr>
          <w:ilvl w:val="0"/>
          <w:numId w:val="44"/>
        </w:numPr>
        <w:tabs>
          <w:tab w:val="clear" w:pos="425"/>
        </w:tabs>
        <w:spacing w:line="360" w:lineRule="auto"/>
        <w:ind w:left="880"/>
        <w:rPr>
          <w:rFonts w:cs="Cambria"/>
          <w:sz w:val="24"/>
          <w:szCs w:val="24"/>
        </w:rPr>
      </w:pPr>
      <w:r>
        <w:rPr>
          <w:rFonts w:cs="Cambria"/>
          <w:sz w:val="24"/>
          <w:szCs w:val="24"/>
        </w:rPr>
        <w:t xml:space="preserve">   Minimnya jumlah SDM untuk melakukan pemantauan dan menyaring informasi terkait potensi konflik yang ada di di 19 kab/kota di Sumatera Barat. Hal ini mengakibatkan peta rawan konflik yang disusun belum optimal.</w:t>
      </w:r>
    </w:p>
    <w:p w:rsidR="007335FD" w:rsidRDefault="00815898">
      <w:pPr>
        <w:pStyle w:val="NoSpacing"/>
        <w:numPr>
          <w:ilvl w:val="0"/>
          <w:numId w:val="44"/>
        </w:numPr>
        <w:tabs>
          <w:tab w:val="clear" w:pos="425"/>
        </w:tabs>
        <w:spacing w:line="360" w:lineRule="auto"/>
        <w:ind w:left="880"/>
        <w:rPr>
          <w:rFonts w:cs="Cambria"/>
          <w:sz w:val="24"/>
          <w:szCs w:val="24"/>
        </w:rPr>
      </w:pPr>
      <w:r>
        <w:rPr>
          <w:rFonts w:cs="Cambria"/>
          <w:sz w:val="24"/>
          <w:szCs w:val="24"/>
        </w:rPr>
        <w:t xml:space="preserve">  Belum optimalnya kemampuan aparat dalam mendeteksi, mencegah, dan mengantisipasi secara dini berbagai gejolak sosial politik yang dapat mengganggu tatanan kehidupan bermasyarakat</w:t>
      </w:r>
    </w:p>
    <w:p w:rsidR="007335FD" w:rsidRDefault="00815898">
      <w:pPr>
        <w:pStyle w:val="NoSpacing"/>
        <w:numPr>
          <w:ilvl w:val="0"/>
          <w:numId w:val="44"/>
        </w:numPr>
        <w:tabs>
          <w:tab w:val="clear" w:pos="425"/>
        </w:tabs>
        <w:spacing w:line="360" w:lineRule="auto"/>
        <w:ind w:left="880"/>
        <w:rPr>
          <w:rFonts w:cs="Cambria"/>
          <w:sz w:val="24"/>
          <w:szCs w:val="24"/>
        </w:rPr>
      </w:pPr>
      <w:r>
        <w:rPr>
          <w:rFonts w:cs="Arial"/>
          <w:sz w:val="24"/>
          <w:szCs w:val="24"/>
        </w:rPr>
        <w:t xml:space="preserve">   Meningkatnya potensi ancaman, gangguan, tantangan, dan hambatan dalam menciptakan kondusivitas daerah, serta tingginya intensitas gangguan kamtibmas dan </w:t>
      </w:r>
      <w:r>
        <w:rPr>
          <w:rFonts w:cs="Arial"/>
          <w:sz w:val="24"/>
          <w:szCs w:val="24"/>
        </w:rPr>
        <w:lastRenderedPageBreak/>
        <w:t xml:space="preserve">imigran gelap. Penyebabnya antara </w:t>
      </w:r>
      <w:proofErr w:type="gramStart"/>
      <w:r>
        <w:rPr>
          <w:rFonts w:cs="Arial"/>
          <w:sz w:val="24"/>
          <w:szCs w:val="24"/>
        </w:rPr>
        <w:t>lain</w:t>
      </w:r>
      <w:proofErr w:type="gramEnd"/>
      <w:r>
        <w:rPr>
          <w:rFonts w:cs="Arial"/>
          <w:sz w:val="24"/>
          <w:szCs w:val="24"/>
        </w:rPr>
        <w:t xml:space="preserve"> adalah perkembangan dinamika kehidupan masyarakat serta arus globalisasi khususnya di bidang teknologi informasi, budaya, dan ekonomi yang memunculkan ekses-ekses negatif dengan munculnya modus-modus kejahatan baru dan kejahatan yang bersifat transnasional</w:t>
      </w:r>
      <w:r>
        <w:rPr>
          <w:rFonts w:ascii="Arial" w:hAnsi="Arial" w:cs="Arial"/>
        </w:rPr>
        <w:t>.</w:t>
      </w:r>
    </w:p>
    <w:p w:rsidR="007335FD" w:rsidRDefault="00815898">
      <w:pPr>
        <w:pStyle w:val="NoSpacing"/>
        <w:numPr>
          <w:ilvl w:val="0"/>
          <w:numId w:val="44"/>
        </w:numPr>
        <w:tabs>
          <w:tab w:val="clear" w:pos="425"/>
        </w:tabs>
        <w:spacing w:line="360" w:lineRule="auto"/>
        <w:ind w:left="880"/>
        <w:rPr>
          <w:rFonts w:cs="Cambria"/>
          <w:sz w:val="24"/>
          <w:szCs w:val="24"/>
        </w:rPr>
      </w:pPr>
      <w:r>
        <w:rPr>
          <w:rFonts w:cs="Arial"/>
          <w:sz w:val="24"/>
          <w:szCs w:val="24"/>
        </w:rPr>
        <w:t xml:space="preserve">   Lemahnya sistem pelaporan dari kabupaten dan </w:t>
      </w:r>
      <w:proofErr w:type="gramStart"/>
      <w:r>
        <w:rPr>
          <w:rFonts w:cs="Arial"/>
          <w:sz w:val="24"/>
          <w:szCs w:val="24"/>
        </w:rPr>
        <w:t>kota</w:t>
      </w:r>
      <w:proofErr w:type="gramEnd"/>
      <w:r>
        <w:rPr>
          <w:rFonts w:cs="Arial"/>
          <w:sz w:val="24"/>
          <w:szCs w:val="24"/>
        </w:rPr>
        <w:t xml:space="preserve"> ke provinsi tentang perkembangan situasi dan kondisi daerah serta pelaporan yang berkaitan dengan tugas dan urusan bidang Kesatuan Bangsa dan Politik di daerah.</w:t>
      </w:r>
    </w:p>
    <w:p w:rsidR="007335FD" w:rsidRDefault="00815898">
      <w:pPr>
        <w:pStyle w:val="NoSpacing"/>
        <w:numPr>
          <w:ilvl w:val="0"/>
          <w:numId w:val="44"/>
        </w:numPr>
        <w:tabs>
          <w:tab w:val="clear" w:pos="425"/>
        </w:tabs>
        <w:spacing w:line="360" w:lineRule="auto"/>
        <w:ind w:left="880"/>
        <w:rPr>
          <w:rFonts w:cs="Cambria"/>
          <w:sz w:val="24"/>
          <w:szCs w:val="24"/>
        </w:rPr>
      </w:pPr>
      <w:r>
        <w:rPr>
          <w:rFonts w:cs="Arial"/>
          <w:sz w:val="24"/>
          <w:szCs w:val="24"/>
        </w:rPr>
        <w:t xml:space="preserve">  Belum sinergisnya aparatur dan tokoh-tokoh masyarakat/agama/adat dan lainnya dalam mencegah, menangani dan menghentikan konflik sosial</w:t>
      </w:r>
    </w:p>
    <w:p w:rsidR="007335FD" w:rsidRDefault="00815898">
      <w:pPr>
        <w:pStyle w:val="NoSpacing"/>
        <w:numPr>
          <w:ilvl w:val="0"/>
          <w:numId w:val="44"/>
        </w:numPr>
        <w:tabs>
          <w:tab w:val="clear" w:pos="425"/>
        </w:tabs>
        <w:spacing w:line="360" w:lineRule="auto"/>
        <w:ind w:left="880"/>
        <w:rPr>
          <w:rFonts w:cs="Cambria"/>
          <w:sz w:val="24"/>
          <w:szCs w:val="24"/>
        </w:rPr>
      </w:pPr>
      <w:r>
        <w:rPr>
          <w:rFonts w:cs="Arial"/>
          <w:sz w:val="24"/>
          <w:szCs w:val="24"/>
        </w:rPr>
        <w:t xml:space="preserve">   Belum optimalnya peran forum-forum strategis Kesbangpol dalam deteksi dini permasalahan keamanan dan ketertiban. </w:t>
      </w:r>
    </w:p>
    <w:p w:rsidR="007335FD" w:rsidRDefault="007335FD">
      <w:pPr>
        <w:pStyle w:val="NoSpacing"/>
        <w:spacing w:line="360" w:lineRule="auto"/>
        <w:ind w:leftChars="200" w:left="440" w:firstLine="720"/>
        <w:rPr>
          <w:rFonts w:hAnsi="Berlin Sans FB Demi"/>
          <w:sz w:val="24"/>
          <w:szCs w:val="24"/>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Untuk mengantisipasi permasalahan di atas, ada beberapa solusi yang bisa dilakukan di tahun mendatang </w:t>
      </w:r>
      <w:proofErr w:type="gramStart"/>
      <w:r>
        <w:rPr>
          <w:rFonts w:cs="Cambria"/>
          <w:sz w:val="24"/>
          <w:szCs w:val="24"/>
        </w:rPr>
        <w:t>diantaranya :</w:t>
      </w:r>
      <w:proofErr w:type="gramEnd"/>
    </w:p>
    <w:p w:rsidR="007335FD" w:rsidRDefault="00815898">
      <w:pPr>
        <w:pStyle w:val="ListParagraph"/>
        <w:numPr>
          <w:ilvl w:val="0"/>
          <w:numId w:val="45"/>
        </w:numPr>
        <w:autoSpaceDE w:val="0"/>
        <w:autoSpaceDN w:val="0"/>
        <w:adjustRightInd w:val="0"/>
        <w:spacing w:after="0" w:line="360" w:lineRule="auto"/>
        <w:ind w:left="880"/>
        <w:jc w:val="both"/>
        <w:rPr>
          <w:rFonts w:cs="Cambria"/>
          <w:sz w:val="24"/>
          <w:szCs w:val="24"/>
        </w:rPr>
      </w:pPr>
      <w:r>
        <w:rPr>
          <w:rFonts w:cs="Arial"/>
          <w:sz w:val="24"/>
          <w:szCs w:val="24"/>
        </w:rPr>
        <w:t xml:space="preserve">  Memberdayakan sumber daya manusia yang ada dengan memberikan pendidikan intelijen untuk meningkatkan kapasitas atau kemampuan dalam melakukan deteksi dan cegah dini terhadap berbagai gejolak yang muncul di tengah masyarakat khususnya masalah konflik sosial.</w:t>
      </w:r>
    </w:p>
    <w:p w:rsidR="007335FD" w:rsidRDefault="00815898">
      <w:pPr>
        <w:pStyle w:val="ListParagraph"/>
        <w:numPr>
          <w:ilvl w:val="0"/>
          <w:numId w:val="45"/>
        </w:numPr>
        <w:autoSpaceDE w:val="0"/>
        <w:autoSpaceDN w:val="0"/>
        <w:adjustRightInd w:val="0"/>
        <w:spacing w:after="0" w:line="360" w:lineRule="auto"/>
        <w:ind w:left="880"/>
        <w:jc w:val="both"/>
        <w:rPr>
          <w:rFonts w:cs="Cambria"/>
          <w:sz w:val="24"/>
          <w:szCs w:val="24"/>
        </w:rPr>
      </w:pPr>
      <w:r>
        <w:rPr>
          <w:rFonts w:cs="Arial"/>
          <w:sz w:val="24"/>
          <w:szCs w:val="24"/>
        </w:rPr>
        <w:t xml:space="preserve">   Meningkatkan intesitas pertemuan dengan intansi terkait seperti Kepolisian, Satpol PP, Kominda, Forkopimda, TNI, pihak Imigrasi, Kejati, dan instansi terkait lainnya dalam penanganan masalah strategis daerah</w:t>
      </w:r>
      <w:r>
        <w:rPr>
          <w:rFonts w:ascii="Arial" w:hAnsi="Arial" w:cs="Arial"/>
          <w:sz w:val="24"/>
          <w:szCs w:val="24"/>
        </w:rPr>
        <w:t>.</w:t>
      </w:r>
    </w:p>
    <w:p w:rsidR="007335FD" w:rsidRDefault="00815898">
      <w:pPr>
        <w:pStyle w:val="ListParagraph"/>
        <w:numPr>
          <w:ilvl w:val="0"/>
          <w:numId w:val="45"/>
        </w:numPr>
        <w:autoSpaceDE w:val="0"/>
        <w:autoSpaceDN w:val="0"/>
        <w:adjustRightInd w:val="0"/>
        <w:spacing w:after="0" w:line="360" w:lineRule="auto"/>
        <w:ind w:left="880"/>
        <w:jc w:val="both"/>
        <w:rPr>
          <w:rFonts w:cs="Cambria"/>
          <w:sz w:val="24"/>
          <w:szCs w:val="24"/>
        </w:rPr>
      </w:pPr>
      <w:r>
        <w:rPr>
          <w:rFonts w:cs="Cambria"/>
          <w:sz w:val="24"/>
          <w:szCs w:val="24"/>
        </w:rPr>
        <w:t xml:space="preserve">  Memperkuat fungsi dan peran forum-forum strategis daerah </w:t>
      </w:r>
    </w:p>
    <w:p w:rsidR="007335FD" w:rsidRDefault="00815898">
      <w:pPr>
        <w:pStyle w:val="ListParagraph"/>
        <w:numPr>
          <w:ilvl w:val="0"/>
          <w:numId w:val="45"/>
        </w:numPr>
        <w:autoSpaceDE w:val="0"/>
        <w:autoSpaceDN w:val="0"/>
        <w:adjustRightInd w:val="0"/>
        <w:spacing w:after="0" w:line="360" w:lineRule="auto"/>
        <w:ind w:left="880"/>
        <w:jc w:val="both"/>
        <w:rPr>
          <w:rFonts w:cs="Cambria"/>
          <w:sz w:val="24"/>
          <w:szCs w:val="24"/>
        </w:rPr>
      </w:pPr>
      <w:r>
        <w:rPr>
          <w:rFonts w:cs="Cambria"/>
          <w:sz w:val="24"/>
          <w:szCs w:val="24"/>
        </w:rPr>
        <w:t xml:space="preserve">  Meningkatkan p</w:t>
      </w:r>
      <w:r>
        <w:rPr>
          <w:rFonts w:cs="Arial"/>
          <w:sz w:val="24"/>
          <w:szCs w:val="24"/>
        </w:rPr>
        <w:t xml:space="preserve">endidikan wawasan kebangsaan dan bela negara, dengan </w:t>
      </w:r>
      <w:proofErr w:type="gramStart"/>
      <w:r>
        <w:rPr>
          <w:rFonts w:cs="Arial"/>
          <w:sz w:val="24"/>
          <w:szCs w:val="24"/>
        </w:rPr>
        <w:t>sasaran  kelompok</w:t>
      </w:r>
      <w:proofErr w:type="gramEnd"/>
      <w:r>
        <w:rPr>
          <w:rFonts w:cs="Arial"/>
          <w:sz w:val="24"/>
          <w:szCs w:val="24"/>
        </w:rPr>
        <w:t xml:space="preserve"> masyarakat yang berpotensi menyebarluaskan pendidikan tersebut, sehingga bisa menimbulkan efek bola salju yang akan menjangkau sasaran yang lebih luas. Kelompok sasaran seperti ini antara lain adalah ibu-ibu rumah tangga, kelompok PKK, Karang Taruna, Ketua RT/RW dan guru-guru</w:t>
      </w:r>
    </w:p>
    <w:p w:rsidR="007335FD" w:rsidRDefault="00815898">
      <w:pPr>
        <w:pStyle w:val="ListParagraph"/>
        <w:numPr>
          <w:ilvl w:val="0"/>
          <w:numId w:val="45"/>
        </w:numPr>
        <w:autoSpaceDE w:val="0"/>
        <w:autoSpaceDN w:val="0"/>
        <w:adjustRightInd w:val="0"/>
        <w:spacing w:after="0" w:line="360" w:lineRule="auto"/>
        <w:ind w:left="880"/>
        <w:jc w:val="both"/>
        <w:rPr>
          <w:rFonts w:cs="Cambria"/>
          <w:sz w:val="24"/>
          <w:szCs w:val="24"/>
        </w:rPr>
      </w:pPr>
      <w:r>
        <w:rPr>
          <w:rFonts w:cs="Arial"/>
          <w:sz w:val="24"/>
          <w:szCs w:val="24"/>
        </w:rPr>
        <w:t xml:space="preserve">   Meningkatkan pendidikan wawasan kebangsaan dan nasionalisme kepada kelompok-kelompok yang dinilai memiliki berbedaan faham di masyarakat dan kelompok-kelompok radikal sebagai salah satu bentuk upaya deradikalisasi.</w:t>
      </w:r>
    </w:p>
    <w:p w:rsidR="007335FD" w:rsidRDefault="007335FD">
      <w:pPr>
        <w:pStyle w:val="NoSpacing"/>
        <w:spacing w:line="360" w:lineRule="auto"/>
        <w:ind w:leftChars="200" w:left="440" w:firstLine="720"/>
        <w:rPr>
          <w:rFonts w:hAnsi="Berlin Sans FB Demi"/>
          <w:sz w:val="24"/>
          <w:szCs w:val="24"/>
        </w:rPr>
      </w:pPr>
    </w:p>
    <w:p w:rsidR="007335FD" w:rsidRDefault="00815898">
      <w:pPr>
        <w:autoSpaceDE w:val="0"/>
        <w:autoSpaceDN w:val="0"/>
        <w:adjustRightInd w:val="0"/>
        <w:spacing w:after="0" w:line="360" w:lineRule="auto"/>
        <w:ind w:firstLine="720"/>
        <w:jc w:val="both"/>
        <w:rPr>
          <w:rFonts w:cs="Cambria"/>
          <w:sz w:val="24"/>
          <w:szCs w:val="24"/>
        </w:rPr>
      </w:pPr>
      <w:r>
        <w:rPr>
          <w:rFonts w:cs="Cambria"/>
          <w:sz w:val="24"/>
          <w:szCs w:val="24"/>
        </w:rPr>
        <w:lastRenderedPageBreak/>
        <w:t>Selanjutnya, jika dibandingkan dengan target akhir Renstra, kinerja baru tercapai 110</w:t>
      </w:r>
      <w:proofErr w:type="gramStart"/>
      <w:r>
        <w:rPr>
          <w:rFonts w:cs="Cambria"/>
          <w:sz w:val="24"/>
          <w:szCs w:val="24"/>
        </w:rPr>
        <w:t>%  sebagaimana</w:t>
      </w:r>
      <w:proofErr w:type="gramEnd"/>
      <w:r>
        <w:rPr>
          <w:rFonts w:cs="Cambria"/>
          <w:sz w:val="24"/>
          <w:szCs w:val="24"/>
        </w:rPr>
        <w:t xml:space="preserve"> dapat dilihat pada tabel di bawah ini :</w:t>
      </w:r>
    </w:p>
    <w:p w:rsidR="007335FD" w:rsidRDefault="00815898">
      <w:pPr>
        <w:pStyle w:val="NoSpacing"/>
        <w:jc w:val="center"/>
        <w:rPr>
          <w:rFonts w:hAnsi="Berlin Sans FB Demi"/>
          <w:b/>
          <w:bCs/>
          <w:sz w:val="24"/>
          <w:szCs w:val="24"/>
        </w:rPr>
      </w:pPr>
      <w:r>
        <w:rPr>
          <w:rFonts w:hAnsi="Berlin Sans FB Demi"/>
          <w:b/>
          <w:bCs/>
          <w:sz w:val="24"/>
          <w:szCs w:val="24"/>
        </w:rPr>
        <w:t>Tabel 3.16</w:t>
      </w:r>
    </w:p>
    <w:p w:rsidR="007335FD" w:rsidRDefault="00815898">
      <w:pPr>
        <w:pStyle w:val="NoSpacing"/>
        <w:jc w:val="center"/>
        <w:rPr>
          <w:rFonts w:hAnsi="Berlin Sans FB Demi"/>
          <w:b/>
          <w:bCs/>
          <w:sz w:val="24"/>
          <w:szCs w:val="24"/>
        </w:rPr>
      </w:pPr>
      <w:r>
        <w:rPr>
          <w:rFonts w:hAnsi="Berlin Sans FB Demi"/>
          <w:b/>
          <w:bCs/>
          <w:sz w:val="24"/>
          <w:szCs w:val="24"/>
        </w:rPr>
        <w:t>Perbandingan realisasi kinerja sampai dengan tahun 2021 dengan target jangka menengah yang terdapat dalam dokumen Renstra</w:t>
      </w:r>
    </w:p>
    <w:p w:rsidR="007335FD" w:rsidRDefault="007335FD">
      <w:pPr>
        <w:pStyle w:val="NoSpacing"/>
        <w:jc w:val="center"/>
        <w:rPr>
          <w:rFonts w:hAnsi="Berlin Sans FB Demi"/>
          <w:b/>
          <w:bCs/>
          <w:sz w:val="24"/>
          <w:szCs w:val="24"/>
        </w:rPr>
      </w:pPr>
    </w:p>
    <w:tbl>
      <w:tblPr>
        <w:tblStyle w:val="TableGrid"/>
        <w:tblW w:w="9438" w:type="dxa"/>
        <w:tblInd w:w="104" w:type="dxa"/>
        <w:tblLayout w:type="fixed"/>
        <w:tblLook w:val="04A0" w:firstRow="1" w:lastRow="0" w:firstColumn="1" w:lastColumn="0" w:noHBand="0" w:noVBand="1"/>
      </w:tblPr>
      <w:tblGrid>
        <w:gridCol w:w="1847"/>
        <w:gridCol w:w="992"/>
        <w:gridCol w:w="1134"/>
        <w:gridCol w:w="1418"/>
        <w:gridCol w:w="850"/>
        <w:gridCol w:w="1276"/>
        <w:gridCol w:w="1134"/>
        <w:gridCol w:w="787"/>
      </w:tblGrid>
      <w:tr w:rsidR="007335FD">
        <w:tc>
          <w:tcPr>
            <w:tcW w:w="1847"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Indikator kinerja</w:t>
            </w:r>
          </w:p>
        </w:tc>
        <w:tc>
          <w:tcPr>
            <w:tcW w:w="992"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Satuan</w:t>
            </w:r>
          </w:p>
        </w:tc>
        <w:tc>
          <w:tcPr>
            <w:tcW w:w="2552"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Tahun 2018</w:t>
            </w:r>
          </w:p>
        </w:tc>
        <w:tc>
          <w:tcPr>
            <w:tcW w:w="850" w:type="dxa"/>
            <w:vMerge w:val="restart"/>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w:t>
            </w:r>
          </w:p>
        </w:tc>
        <w:tc>
          <w:tcPr>
            <w:tcW w:w="2410"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Tahun 2021</w:t>
            </w:r>
          </w:p>
        </w:tc>
        <w:tc>
          <w:tcPr>
            <w:tcW w:w="787"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w:t>
            </w:r>
          </w:p>
        </w:tc>
      </w:tr>
      <w:tr w:rsidR="007335FD">
        <w:tc>
          <w:tcPr>
            <w:tcW w:w="1847" w:type="dxa"/>
            <w:vMerge/>
            <w:vAlign w:val="center"/>
          </w:tcPr>
          <w:p w:rsidR="007335FD" w:rsidRDefault="007335FD">
            <w:pPr>
              <w:autoSpaceDE w:val="0"/>
              <w:autoSpaceDN w:val="0"/>
              <w:adjustRightInd w:val="0"/>
              <w:spacing w:line="360" w:lineRule="auto"/>
              <w:jc w:val="center"/>
              <w:rPr>
                <w:rFonts w:cs="Cambria"/>
                <w:b/>
              </w:rPr>
            </w:pPr>
          </w:p>
        </w:tc>
        <w:tc>
          <w:tcPr>
            <w:tcW w:w="992" w:type="dxa"/>
            <w:vMerge/>
            <w:vAlign w:val="center"/>
          </w:tcPr>
          <w:p w:rsidR="007335FD" w:rsidRDefault="007335FD">
            <w:pPr>
              <w:autoSpaceDE w:val="0"/>
              <w:autoSpaceDN w:val="0"/>
              <w:adjustRightInd w:val="0"/>
              <w:spacing w:line="360" w:lineRule="auto"/>
              <w:jc w:val="center"/>
              <w:rPr>
                <w:rFonts w:cs="Cambria"/>
                <w:b/>
              </w:rPr>
            </w:pPr>
          </w:p>
        </w:tc>
        <w:tc>
          <w:tcPr>
            <w:tcW w:w="1134"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Target</w:t>
            </w:r>
          </w:p>
        </w:tc>
        <w:tc>
          <w:tcPr>
            <w:tcW w:w="1418"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Realisasi</w:t>
            </w:r>
          </w:p>
        </w:tc>
        <w:tc>
          <w:tcPr>
            <w:tcW w:w="850" w:type="dxa"/>
            <w:vMerge/>
            <w:shd w:val="clear" w:color="auto" w:fill="C00000"/>
            <w:vAlign w:val="center"/>
          </w:tcPr>
          <w:p w:rsidR="007335FD" w:rsidRDefault="007335FD">
            <w:pPr>
              <w:autoSpaceDE w:val="0"/>
              <w:autoSpaceDN w:val="0"/>
              <w:adjustRightInd w:val="0"/>
              <w:spacing w:line="360" w:lineRule="auto"/>
              <w:jc w:val="center"/>
              <w:rPr>
                <w:rFonts w:cs="Cambria"/>
                <w:b/>
              </w:rPr>
            </w:pPr>
          </w:p>
        </w:tc>
        <w:tc>
          <w:tcPr>
            <w:tcW w:w="1276"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Target</w:t>
            </w:r>
          </w:p>
        </w:tc>
        <w:tc>
          <w:tcPr>
            <w:tcW w:w="1134"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Realisasi s.d 2018</w:t>
            </w:r>
          </w:p>
        </w:tc>
        <w:tc>
          <w:tcPr>
            <w:tcW w:w="787" w:type="dxa"/>
            <w:vMerge/>
            <w:vAlign w:val="center"/>
          </w:tcPr>
          <w:p w:rsidR="007335FD" w:rsidRDefault="007335FD">
            <w:pPr>
              <w:autoSpaceDE w:val="0"/>
              <w:autoSpaceDN w:val="0"/>
              <w:adjustRightInd w:val="0"/>
              <w:spacing w:line="360" w:lineRule="auto"/>
              <w:jc w:val="center"/>
              <w:rPr>
                <w:rFonts w:cs="Cambria"/>
                <w:b/>
                <w:sz w:val="20"/>
                <w:szCs w:val="20"/>
              </w:rPr>
            </w:pPr>
          </w:p>
        </w:tc>
      </w:tr>
      <w:tr w:rsidR="007335FD">
        <w:tc>
          <w:tcPr>
            <w:tcW w:w="1847" w:type="dxa"/>
          </w:tcPr>
          <w:p w:rsidR="007335FD" w:rsidRDefault="00815898">
            <w:pPr>
              <w:pStyle w:val="NoSpacing"/>
              <w:jc w:val="left"/>
              <w:rPr>
                <w:rFonts w:cs="Cambria"/>
              </w:rPr>
            </w:pPr>
            <w:r>
              <w:rPr>
                <w:color w:val="000000" w:themeColor="text1"/>
                <w:sz w:val="24"/>
                <w:szCs w:val="24"/>
              </w:rPr>
              <w:t>Persentase penurunan konflik sosial di Sumbar</w:t>
            </w:r>
          </w:p>
        </w:tc>
        <w:tc>
          <w:tcPr>
            <w:tcW w:w="992"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w:t>
            </w:r>
          </w:p>
        </w:tc>
        <w:tc>
          <w:tcPr>
            <w:tcW w:w="113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5</w:t>
            </w:r>
          </w:p>
        </w:tc>
        <w:tc>
          <w:tcPr>
            <w:tcW w:w="141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33</w:t>
            </w:r>
          </w:p>
        </w:tc>
        <w:tc>
          <w:tcPr>
            <w:tcW w:w="850"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660</w:t>
            </w:r>
          </w:p>
        </w:tc>
        <w:tc>
          <w:tcPr>
            <w:tcW w:w="1276"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30</w:t>
            </w:r>
          </w:p>
        </w:tc>
        <w:tc>
          <w:tcPr>
            <w:tcW w:w="113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33</w:t>
            </w:r>
          </w:p>
        </w:tc>
        <w:tc>
          <w:tcPr>
            <w:tcW w:w="787"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110%</w:t>
            </w:r>
          </w:p>
        </w:tc>
      </w:tr>
    </w:tbl>
    <w:p w:rsidR="007335FD" w:rsidRDefault="00815898">
      <w:pPr>
        <w:autoSpaceDE w:val="0"/>
        <w:autoSpaceDN w:val="0"/>
        <w:adjustRightInd w:val="0"/>
        <w:spacing w:after="0" w:line="360" w:lineRule="auto"/>
        <w:ind w:firstLine="720"/>
        <w:jc w:val="both"/>
        <w:rPr>
          <w:rFonts w:cs="Cambria"/>
          <w:sz w:val="24"/>
          <w:szCs w:val="24"/>
        </w:rPr>
      </w:pPr>
      <w:r>
        <w:rPr>
          <w:rFonts w:cs="Cambria"/>
          <w:sz w:val="24"/>
          <w:szCs w:val="24"/>
        </w:rPr>
        <w:t xml:space="preserve"> </w:t>
      </w:r>
    </w:p>
    <w:p w:rsidR="007335FD" w:rsidRDefault="00851EC5">
      <w:pPr>
        <w:autoSpaceDE w:val="0"/>
        <w:autoSpaceDN w:val="0"/>
        <w:adjustRightInd w:val="0"/>
        <w:spacing w:after="0" w:line="240" w:lineRule="auto"/>
        <w:ind w:firstLine="426"/>
        <w:rPr>
          <w:rFonts w:cs="Aparajita"/>
          <w:sz w:val="24"/>
          <w:szCs w:val="24"/>
        </w:rPr>
      </w:pPr>
      <w:r>
        <w:rPr>
          <w:rFonts w:cs="Aparajita"/>
          <w:b/>
          <w:sz w:val="24"/>
          <w:szCs w:val="24"/>
        </w:rPr>
        <w:pict>
          <v:roundrect id="_x0000_s1060" style="position:absolute;left:0;text-align:left;margin-left:-2.5pt;margin-top:10.75pt;width:474.3pt;height:35.1pt;z-index:251717632;mso-width-relative:page;mso-height-relative:page" arcsize="10923f" fillcolor="#c00000" strokecolor="#f2f2f2" strokeweight="3pt">
            <v:shadow on="t" type="perspective" color="#4f6228" opacity=".5" offset="1pt" offset2="-1pt,-2pt"/>
            <v:textbox>
              <w:txbxContent>
                <w:p w:rsidR="00815898" w:rsidRDefault="00815898">
                  <w:pPr>
                    <w:pStyle w:val="NoSpacing"/>
                    <w:rPr>
                      <w:b/>
                      <w:color w:val="FFFFFF" w:themeColor="background1"/>
                      <w:sz w:val="24"/>
                      <w:szCs w:val="24"/>
                    </w:rPr>
                  </w:pPr>
                  <w:r>
                    <w:rPr>
                      <w:b/>
                      <w:color w:val="FFFFFF" w:themeColor="background1"/>
                      <w:sz w:val="24"/>
                      <w:szCs w:val="24"/>
                    </w:rPr>
                    <w:t>2. 2 Persentase penurunan angka kriminalitas di Sumbar</w:t>
                  </w:r>
                </w:p>
                <w:p w:rsidR="00815898" w:rsidRDefault="00815898">
                  <w:pPr>
                    <w:rPr>
                      <w:b/>
                      <w:sz w:val="24"/>
                      <w:szCs w:val="24"/>
                    </w:rPr>
                  </w:pPr>
                </w:p>
              </w:txbxContent>
            </v:textbox>
          </v:roundrect>
        </w:pict>
      </w:r>
    </w:p>
    <w:p w:rsidR="007335FD" w:rsidRDefault="007335FD">
      <w:pPr>
        <w:autoSpaceDE w:val="0"/>
        <w:autoSpaceDN w:val="0"/>
        <w:adjustRightInd w:val="0"/>
        <w:spacing w:after="0" w:line="360" w:lineRule="auto"/>
        <w:jc w:val="both"/>
        <w:rPr>
          <w:rFonts w:cs="Aparajita"/>
          <w:b/>
          <w:sz w:val="24"/>
          <w:szCs w:val="24"/>
        </w:rPr>
      </w:pPr>
    </w:p>
    <w:p w:rsidR="007335FD" w:rsidRDefault="007335FD">
      <w:pPr>
        <w:pStyle w:val="NoSpacing"/>
      </w:pPr>
    </w:p>
    <w:p w:rsidR="007335FD" w:rsidRDefault="00815898" w:rsidP="00815898">
      <w:pPr>
        <w:pStyle w:val="NoSpacing"/>
        <w:spacing w:line="360" w:lineRule="auto"/>
        <w:ind w:leftChars="200" w:left="440" w:firstLineChars="274" w:firstLine="658"/>
        <w:rPr>
          <w:sz w:val="24"/>
          <w:szCs w:val="24"/>
        </w:rPr>
      </w:pPr>
      <w:proofErr w:type="gramStart"/>
      <w:r>
        <w:rPr>
          <w:sz w:val="24"/>
          <w:szCs w:val="24"/>
        </w:rPr>
        <w:t>Kriminalitas merupakan suatu pola mengenai tingkah laku yang dapat merugikan masyarakat (atau bisa disebut korban) berupa reaksi formal, informal, dan nonformal.</w:t>
      </w:r>
      <w:proofErr w:type="gramEnd"/>
      <w:r>
        <w:rPr>
          <w:sz w:val="24"/>
          <w:szCs w:val="24"/>
        </w:rPr>
        <w:t xml:space="preserve"> </w:t>
      </w:r>
      <w:r>
        <w:rPr>
          <w:i/>
          <w:sz w:val="24"/>
          <w:szCs w:val="24"/>
        </w:rPr>
        <w:t>Pengertian kriminalitas</w:t>
      </w:r>
      <w:r>
        <w:rPr>
          <w:sz w:val="24"/>
          <w:szCs w:val="24"/>
        </w:rPr>
        <w:t xml:space="preserve"> secara umum juga sebagai tindakan dimana dalam perbuatannya yaitu melanggar hukum dan aturan serta </w:t>
      </w:r>
      <w:proofErr w:type="gramStart"/>
      <w:r>
        <w:rPr>
          <w:sz w:val="24"/>
          <w:szCs w:val="24"/>
        </w:rPr>
        <w:t>norma</w:t>
      </w:r>
      <w:proofErr w:type="gramEnd"/>
      <w:r>
        <w:rPr>
          <w:sz w:val="24"/>
          <w:szCs w:val="24"/>
        </w:rPr>
        <w:t xml:space="preserve"> norma sosial di dalam suatu lingkungan masyarakat, sehingga dampak kriminalitas sendiri bisa jadi berupa penentangan dari masyarakat.</w:t>
      </w:r>
    </w:p>
    <w:p w:rsidR="007335FD" w:rsidRDefault="00815898" w:rsidP="00815898">
      <w:pPr>
        <w:pStyle w:val="NoSpacing"/>
        <w:spacing w:line="360" w:lineRule="auto"/>
        <w:ind w:leftChars="200" w:left="440" w:firstLineChars="274" w:firstLine="658"/>
        <w:rPr>
          <w:sz w:val="24"/>
          <w:szCs w:val="24"/>
        </w:rPr>
      </w:pPr>
      <w:proofErr w:type="gramStart"/>
      <w:r>
        <w:rPr>
          <w:sz w:val="24"/>
          <w:szCs w:val="24"/>
        </w:rPr>
        <w:t>Badan Kesatuan Bangsa dan Politik Provinsi Sumatera Barat mempunyai tugas dan fungsi menjaga keamanan dan ketertiban masyarakat di Sumatera Barat.</w:t>
      </w:r>
      <w:proofErr w:type="gramEnd"/>
      <w:r>
        <w:rPr>
          <w:sz w:val="24"/>
          <w:szCs w:val="24"/>
        </w:rPr>
        <w:t xml:space="preserve"> </w:t>
      </w:r>
      <w:proofErr w:type="gramStart"/>
      <w:r>
        <w:rPr>
          <w:sz w:val="24"/>
          <w:szCs w:val="24"/>
        </w:rPr>
        <w:t>Upaya yang dilakukan untuk mewujudkan keamanan dan ketertiban masyarakat tersebut bersifat konsep dan preventif yaitu dengan memberikan sosialisasi dan pembekalan kepada masyarakat terkait aturan dan dampak yang ditimbukan dari berbagai bentuk pelanggaran yang sering dilakukan oleh masyarakat.</w:t>
      </w:r>
      <w:proofErr w:type="gramEnd"/>
      <w:r>
        <w:rPr>
          <w:sz w:val="24"/>
          <w:szCs w:val="24"/>
        </w:rPr>
        <w:t xml:space="preserve"> Selanjutnya, dalam penerapan di lapangan dalam hal pemberian sanksi terkait peristiwa yang terjadi dalam bentuk perkelahian atau perbuatan yang merugikan orang lain merupakan tugas dari kepolisian. </w:t>
      </w:r>
    </w:p>
    <w:p w:rsidR="007335FD" w:rsidRDefault="00815898" w:rsidP="00815898">
      <w:pPr>
        <w:pStyle w:val="NoSpacing"/>
        <w:spacing w:line="360" w:lineRule="auto"/>
        <w:ind w:leftChars="200" w:left="440" w:firstLineChars="274" w:firstLine="658"/>
      </w:pPr>
      <w:r>
        <w:rPr>
          <w:sz w:val="24"/>
          <w:szCs w:val="24"/>
        </w:rPr>
        <w:t xml:space="preserve">Keamanan dan ketertiban masyarakat </w:t>
      </w:r>
      <w:proofErr w:type="gramStart"/>
      <w:r>
        <w:rPr>
          <w:sz w:val="24"/>
          <w:szCs w:val="24"/>
        </w:rPr>
        <w:t>akan</w:t>
      </w:r>
      <w:proofErr w:type="gramEnd"/>
      <w:r>
        <w:rPr>
          <w:sz w:val="24"/>
          <w:szCs w:val="24"/>
        </w:rPr>
        <w:t xml:space="preserve"> terwujud jika angka kriminalitas di daerah tersebut rendah. </w:t>
      </w:r>
      <w:proofErr w:type="gramStart"/>
      <w:r>
        <w:rPr>
          <w:sz w:val="24"/>
          <w:szCs w:val="24"/>
        </w:rPr>
        <w:t>Oleh sebab itu, penurunan angka kriminalitas termasuk salah satu tanggung jawab dari Badan Kesbangpol selaku instansi pemerintah yang bertugas untuk mewujudkan keamanan dan ketertiban masyarakat.</w:t>
      </w:r>
      <w:proofErr w:type="gramEnd"/>
      <w:r>
        <w:rPr>
          <w:sz w:val="24"/>
          <w:szCs w:val="24"/>
        </w:rPr>
        <w:t xml:space="preserve"> </w:t>
      </w:r>
    </w:p>
    <w:p w:rsidR="007335FD" w:rsidRDefault="00815898">
      <w:pPr>
        <w:autoSpaceDE w:val="0"/>
        <w:autoSpaceDN w:val="0"/>
        <w:adjustRightInd w:val="0"/>
        <w:spacing w:after="0" w:line="360" w:lineRule="auto"/>
        <w:ind w:leftChars="200" w:left="440" w:firstLine="660"/>
        <w:jc w:val="both"/>
        <w:rPr>
          <w:rFonts w:cs="Arial"/>
          <w:sz w:val="24"/>
          <w:szCs w:val="24"/>
        </w:rPr>
      </w:pPr>
      <w:proofErr w:type="gramStart"/>
      <w:r>
        <w:rPr>
          <w:rFonts w:cs="Arial"/>
          <w:sz w:val="24"/>
          <w:szCs w:val="24"/>
        </w:rPr>
        <w:lastRenderedPageBreak/>
        <w:t>Persentase penurunan angka kriminalitas di Sumbar merupakan indikator kedua untuk pencapaian sasaran kedua Badan Kesbangpol Provinsi Sumatera Barat yaitu meningkatnya keamanan, ketentraman dan ketertiban masyarakat.</w:t>
      </w:r>
      <w:proofErr w:type="gramEnd"/>
      <w:r>
        <w:rPr>
          <w:rFonts w:cs="Arial"/>
          <w:sz w:val="24"/>
          <w:szCs w:val="24"/>
        </w:rPr>
        <w:t xml:space="preserve"> Pada tahun 2018, ditargetkan persentase penurunan angka kriminalitas di Sumbar sebesar 5% dan realisasinya menunjukkan penurunan angka kriminalitas di Sumbar sebesar 8,5% % dengan tingkat capaian kinerja sebesar 170 % (kategori penilaian keberhasilan </w:t>
      </w:r>
      <w:r>
        <w:rPr>
          <w:rFonts w:cs="Arial"/>
          <w:b/>
          <w:sz w:val="24"/>
          <w:szCs w:val="24"/>
        </w:rPr>
        <w:t>sangat baik</w:t>
      </w:r>
      <w:r>
        <w:rPr>
          <w:rFonts w:cs="Arial"/>
          <w:sz w:val="24"/>
          <w:szCs w:val="24"/>
        </w:rPr>
        <w:t xml:space="preserve">). </w:t>
      </w:r>
    </w:p>
    <w:p w:rsidR="007335FD" w:rsidRDefault="007335FD">
      <w:pPr>
        <w:autoSpaceDE w:val="0"/>
        <w:autoSpaceDN w:val="0"/>
        <w:adjustRightInd w:val="0"/>
        <w:spacing w:after="0" w:line="360" w:lineRule="auto"/>
        <w:ind w:leftChars="200" w:left="440" w:firstLine="660"/>
        <w:jc w:val="both"/>
        <w:rPr>
          <w:rFonts w:cs="Aparajita"/>
          <w:sz w:val="24"/>
          <w:szCs w:val="24"/>
        </w:rPr>
      </w:pPr>
    </w:p>
    <w:p w:rsidR="007335FD" w:rsidRDefault="00815898">
      <w:pPr>
        <w:autoSpaceDE w:val="0"/>
        <w:autoSpaceDN w:val="0"/>
        <w:adjustRightInd w:val="0"/>
        <w:spacing w:after="0" w:line="360" w:lineRule="auto"/>
        <w:ind w:leftChars="200" w:left="440" w:firstLine="660"/>
        <w:jc w:val="both"/>
        <w:rPr>
          <w:rFonts w:cs="Aparajita"/>
          <w:sz w:val="24"/>
          <w:szCs w:val="24"/>
        </w:rPr>
      </w:pPr>
      <w:r>
        <w:rPr>
          <w:rFonts w:cs="Aparajita"/>
          <w:sz w:val="24"/>
          <w:szCs w:val="24"/>
        </w:rPr>
        <w:t>T</w:t>
      </w:r>
      <w:r>
        <w:rPr>
          <w:rFonts w:eastAsia="Batang" w:cs="Aparajita"/>
          <w:sz w:val="24"/>
          <w:szCs w:val="24"/>
        </w:rPr>
        <w:t xml:space="preserve">ingkat capaian kinerja diperoleh dengan menggunakan rumus </w:t>
      </w:r>
      <w:proofErr w:type="gramStart"/>
      <w:r>
        <w:rPr>
          <w:rFonts w:eastAsia="Batang" w:cs="Aparajita"/>
          <w:sz w:val="24"/>
          <w:szCs w:val="24"/>
        </w:rPr>
        <w:t>berikut :</w:t>
      </w:r>
      <w:proofErr w:type="gramEnd"/>
    </w:p>
    <w:p w:rsidR="007335FD" w:rsidRDefault="00851EC5">
      <w:pPr>
        <w:pStyle w:val="ListParagraph"/>
        <w:spacing w:line="360" w:lineRule="auto"/>
        <w:jc w:val="both"/>
        <w:rPr>
          <w:rFonts w:ascii="Aparajita" w:eastAsia="Batang" w:hAnsi="Aparajita" w:cs="Aparajita"/>
          <w:sz w:val="24"/>
          <w:szCs w:val="24"/>
        </w:rPr>
      </w:pPr>
      <w:r>
        <w:rPr>
          <w:rFonts w:ascii="Aparajita" w:eastAsia="Batang" w:hAnsi="Aparajita" w:cs="Aparajita"/>
          <w:sz w:val="24"/>
          <w:szCs w:val="24"/>
        </w:rPr>
        <w:pict>
          <v:rect id="_x0000_s1061" style="position:absolute;left:0;text-align:left;margin-left:57pt;margin-top:4.1pt;width:354.75pt;height:41.1pt;z-index:251719680;mso-width-relative:page;mso-height-relative:page" filled="f" strokecolor="#c00000" strokeweight="3pt">
            <v:shadow on="t" color="#632523" opacity=".5" offset="1pt"/>
            <v:textbox>
              <w:txbxContent>
                <w:p w:rsidR="00815898" w:rsidRDefault="00815898">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15898" w:rsidRDefault="00815898">
                  <w:pPr>
                    <w:jc w:val="center"/>
                  </w:pPr>
                </w:p>
                <w:p w:rsidR="00815898" w:rsidRDefault="00815898">
                  <w:pPr>
                    <w:jc w:val="center"/>
                    <w:rPr>
                      <w:rFonts w:ascii="Berlin Sans FB" w:hAnsi="Berlin Sans FB"/>
                      <w:sz w:val="24"/>
                      <w:szCs w:val="24"/>
                    </w:rPr>
                  </w:pPr>
                </w:p>
              </w:txbxContent>
            </v:textbox>
          </v:rect>
        </w:pict>
      </w:r>
    </w:p>
    <w:p w:rsidR="007335FD" w:rsidRDefault="007335FD">
      <w:pPr>
        <w:pStyle w:val="ListParagraph"/>
        <w:spacing w:line="360" w:lineRule="auto"/>
        <w:jc w:val="both"/>
        <w:rPr>
          <w:rFonts w:ascii="Aparajita" w:eastAsia="Batang" w:hAnsi="Aparajita" w:cs="Aparajita"/>
          <w:sz w:val="24"/>
          <w:szCs w:val="24"/>
        </w:rPr>
      </w:pPr>
    </w:p>
    <w:p w:rsidR="007335FD" w:rsidRDefault="00815898">
      <w:pPr>
        <w:pStyle w:val="ListParagraph"/>
        <w:spacing w:line="360" w:lineRule="auto"/>
        <w:ind w:firstLine="720"/>
        <w:jc w:val="both"/>
        <w:rPr>
          <w:rFonts w:eastAsia="Batang" w:cs="Aparajita"/>
          <w:sz w:val="24"/>
          <w:szCs w:val="24"/>
        </w:rPr>
      </w:pPr>
      <w:proofErr w:type="gramStart"/>
      <w:r>
        <w:rPr>
          <w:rFonts w:eastAsia="Batang" w:cs="Aparajita"/>
          <w:sz w:val="24"/>
          <w:szCs w:val="24"/>
        </w:rPr>
        <w:t>Capaian  Indikator</w:t>
      </w:r>
      <w:proofErr w:type="gramEnd"/>
      <w:r>
        <w:rPr>
          <w:rFonts w:eastAsia="Batang" w:cs="Aparajita"/>
          <w:sz w:val="24"/>
          <w:szCs w:val="24"/>
        </w:rPr>
        <w:t xml:space="preserve"> Kinerja = </w:t>
      </w:r>
      <w:r>
        <w:rPr>
          <w:rFonts w:eastAsia="Batang" w:cs="Aparajita"/>
          <w:position w:val="-24"/>
          <w:sz w:val="24"/>
          <w:szCs w:val="24"/>
        </w:rPr>
        <w:object w:dxaOrig="880" w:dyaOrig="620">
          <v:shape id="_x0000_i1029" type="#_x0000_t75" style="width:44.25pt;height:30.75pt" o:ole="">
            <v:imagedata r:id="rId43" o:title=""/>
          </v:shape>
          <o:OLEObject Type="Embed" ProgID="Equation.3" ShapeID="_x0000_i1029" DrawAspect="Content" ObjectID="_1621771244" r:id="rId44"/>
        </w:object>
      </w:r>
      <w:r>
        <w:rPr>
          <w:rFonts w:eastAsia="Batang" w:cs="Aparajita"/>
          <w:sz w:val="24"/>
          <w:szCs w:val="24"/>
        </w:rPr>
        <w:t>= 170%</w:t>
      </w:r>
    </w:p>
    <w:p w:rsidR="007335FD" w:rsidRDefault="00815898">
      <w:pPr>
        <w:spacing w:line="360" w:lineRule="auto"/>
        <w:ind w:leftChars="200" w:left="440" w:firstLine="660"/>
        <w:jc w:val="both"/>
        <w:rPr>
          <w:rFonts w:cs="Aparajita"/>
          <w:sz w:val="24"/>
          <w:szCs w:val="24"/>
        </w:rPr>
      </w:pPr>
      <w:r>
        <w:rPr>
          <w:rFonts w:cs="Aparajita"/>
          <w:sz w:val="24"/>
          <w:szCs w:val="24"/>
        </w:rPr>
        <w:t xml:space="preserve">Persentase penurunan angka kriminalitas di Sumbar diukur dari perbandingan jumlah angka kriminalitas yang terjadi di Sumbar tahun 2017 yang direlease pada tahun 2018 dengan jumlah angka krimilalitas yang terjadi di Sumbar tahun sebelumnya. </w:t>
      </w:r>
      <w:proofErr w:type="gramStart"/>
      <w:r>
        <w:rPr>
          <w:sz w:val="24"/>
          <w:szCs w:val="24"/>
        </w:rPr>
        <w:t>Sumber data diperolah dari Kepolisian Negara Republik Indonesia yang dirilis oleh Badan Pusat Statistik Provinsi Sumatera Barat</w:t>
      </w:r>
      <w:r>
        <w:rPr>
          <w:rFonts w:ascii="Rockwell" w:hAnsi="Rockwell"/>
        </w:rPr>
        <w:t>.</w:t>
      </w:r>
      <w:proofErr w:type="gramEnd"/>
      <w:r>
        <w:rPr>
          <w:rFonts w:ascii="Rockwell" w:hAnsi="Rockwell"/>
        </w:rPr>
        <w:t xml:space="preserve"> </w:t>
      </w:r>
      <w:r>
        <w:rPr>
          <w:sz w:val="24"/>
          <w:szCs w:val="24"/>
        </w:rPr>
        <w:t>Perbandingan jumlah angka kriminalitas yang terjadi di Sumatera Barat selama 3 tahun terakhir dapat</w:t>
      </w:r>
      <w:r>
        <w:rPr>
          <w:rFonts w:cs="Aparajita"/>
          <w:sz w:val="24"/>
          <w:szCs w:val="24"/>
        </w:rPr>
        <w:t xml:space="preserve"> dijelaskan pada tabel </w:t>
      </w:r>
      <w:proofErr w:type="gramStart"/>
      <w:r>
        <w:rPr>
          <w:rFonts w:cs="Aparajita"/>
          <w:sz w:val="24"/>
          <w:szCs w:val="24"/>
        </w:rPr>
        <w:t>berikut :</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3.17</w:t>
      </w:r>
    </w:p>
    <w:p w:rsidR="007335FD" w:rsidRDefault="00815898">
      <w:pPr>
        <w:pStyle w:val="NoSpacing"/>
        <w:jc w:val="center"/>
        <w:rPr>
          <w:rFonts w:hAnsi="Berlin Sans FB Demi"/>
          <w:b/>
          <w:bCs/>
          <w:sz w:val="24"/>
          <w:szCs w:val="24"/>
        </w:rPr>
      </w:pPr>
      <w:r>
        <w:rPr>
          <w:rFonts w:hAnsi="Berlin Sans FB Demi"/>
          <w:b/>
          <w:bCs/>
          <w:sz w:val="24"/>
          <w:szCs w:val="24"/>
        </w:rPr>
        <w:t xml:space="preserve">Perbandingan Jumlah Angka Kriminalitas di Sumatera Barat </w:t>
      </w:r>
    </w:p>
    <w:p w:rsidR="007335FD" w:rsidRDefault="00815898">
      <w:pPr>
        <w:pStyle w:val="NoSpacing"/>
        <w:jc w:val="center"/>
        <w:rPr>
          <w:rFonts w:cs="Aparajita"/>
          <w:b/>
          <w:bCs/>
          <w:sz w:val="24"/>
          <w:szCs w:val="24"/>
        </w:rPr>
      </w:pPr>
      <w:r>
        <w:rPr>
          <w:rFonts w:hAnsi="Berlin Sans FB Demi"/>
          <w:b/>
          <w:bCs/>
          <w:sz w:val="24"/>
          <w:szCs w:val="24"/>
        </w:rPr>
        <w:t>Tahun 2016-2018</w:t>
      </w:r>
    </w:p>
    <w:tbl>
      <w:tblPr>
        <w:tblStyle w:val="TableGrid"/>
        <w:tblW w:w="8681" w:type="dxa"/>
        <w:tblInd w:w="529" w:type="dxa"/>
        <w:tblLayout w:type="fixed"/>
        <w:tblLook w:val="04A0" w:firstRow="1" w:lastRow="0" w:firstColumn="1" w:lastColumn="0" w:noHBand="0" w:noVBand="1"/>
      </w:tblPr>
      <w:tblGrid>
        <w:gridCol w:w="663"/>
        <w:gridCol w:w="2675"/>
        <w:gridCol w:w="1543"/>
        <w:gridCol w:w="1900"/>
        <w:gridCol w:w="1900"/>
      </w:tblGrid>
      <w:tr w:rsidR="007335FD">
        <w:tc>
          <w:tcPr>
            <w:tcW w:w="663" w:type="dxa"/>
            <w:shd w:val="clear" w:color="auto" w:fill="C00000"/>
          </w:tcPr>
          <w:p w:rsidR="007335FD" w:rsidRDefault="00815898">
            <w:pPr>
              <w:pStyle w:val="NoSpacing"/>
              <w:rPr>
                <w:b/>
                <w:sz w:val="24"/>
                <w:szCs w:val="24"/>
              </w:rPr>
            </w:pPr>
            <w:r>
              <w:rPr>
                <w:b/>
                <w:sz w:val="24"/>
                <w:szCs w:val="24"/>
              </w:rPr>
              <w:t>No</w:t>
            </w:r>
          </w:p>
        </w:tc>
        <w:tc>
          <w:tcPr>
            <w:tcW w:w="2675" w:type="dxa"/>
            <w:shd w:val="clear" w:color="auto" w:fill="C00000"/>
          </w:tcPr>
          <w:p w:rsidR="007335FD" w:rsidRDefault="00815898">
            <w:pPr>
              <w:pStyle w:val="NoSpacing"/>
              <w:rPr>
                <w:b/>
                <w:sz w:val="24"/>
                <w:szCs w:val="24"/>
              </w:rPr>
            </w:pPr>
            <w:r>
              <w:rPr>
                <w:b/>
                <w:sz w:val="24"/>
                <w:szCs w:val="24"/>
              </w:rPr>
              <w:t>Kasus</w:t>
            </w:r>
          </w:p>
        </w:tc>
        <w:tc>
          <w:tcPr>
            <w:tcW w:w="1543" w:type="dxa"/>
            <w:shd w:val="clear" w:color="auto" w:fill="C00000"/>
          </w:tcPr>
          <w:p w:rsidR="007335FD" w:rsidRDefault="00815898">
            <w:pPr>
              <w:pStyle w:val="NoSpacing"/>
              <w:jc w:val="center"/>
              <w:rPr>
                <w:b/>
                <w:sz w:val="24"/>
                <w:szCs w:val="24"/>
              </w:rPr>
            </w:pPr>
            <w:r>
              <w:rPr>
                <w:b/>
                <w:sz w:val="24"/>
                <w:szCs w:val="24"/>
              </w:rPr>
              <w:t>Tahun 2016</w:t>
            </w:r>
          </w:p>
        </w:tc>
        <w:tc>
          <w:tcPr>
            <w:tcW w:w="1900" w:type="dxa"/>
            <w:shd w:val="clear" w:color="auto" w:fill="C00000"/>
          </w:tcPr>
          <w:p w:rsidR="007335FD" w:rsidRDefault="00815898">
            <w:pPr>
              <w:pStyle w:val="NoSpacing"/>
              <w:jc w:val="center"/>
              <w:rPr>
                <w:b/>
                <w:sz w:val="24"/>
                <w:szCs w:val="24"/>
              </w:rPr>
            </w:pPr>
            <w:r>
              <w:rPr>
                <w:b/>
                <w:sz w:val="24"/>
                <w:szCs w:val="24"/>
              </w:rPr>
              <w:t>Tahun 2017</w:t>
            </w:r>
          </w:p>
        </w:tc>
        <w:tc>
          <w:tcPr>
            <w:tcW w:w="1900" w:type="dxa"/>
            <w:shd w:val="clear" w:color="auto" w:fill="C00000"/>
          </w:tcPr>
          <w:p w:rsidR="007335FD" w:rsidRDefault="00815898">
            <w:pPr>
              <w:pStyle w:val="NoSpacing"/>
              <w:jc w:val="center"/>
              <w:rPr>
                <w:b/>
                <w:sz w:val="24"/>
                <w:szCs w:val="24"/>
              </w:rPr>
            </w:pPr>
            <w:r>
              <w:rPr>
                <w:b/>
                <w:sz w:val="24"/>
                <w:szCs w:val="24"/>
              </w:rPr>
              <w:t>Tahun 2018</w:t>
            </w:r>
          </w:p>
        </w:tc>
      </w:tr>
      <w:tr w:rsidR="007335FD">
        <w:tc>
          <w:tcPr>
            <w:tcW w:w="663" w:type="dxa"/>
          </w:tcPr>
          <w:p w:rsidR="007335FD" w:rsidRDefault="00815898">
            <w:pPr>
              <w:pStyle w:val="NoSpacing"/>
              <w:rPr>
                <w:sz w:val="24"/>
                <w:szCs w:val="24"/>
              </w:rPr>
            </w:pPr>
            <w:r>
              <w:rPr>
                <w:sz w:val="24"/>
                <w:szCs w:val="24"/>
              </w:rPr>
              <w:t>1</w:t>
            </w:r>
          </w:p>
        </w:tc>
        <w:tc>
          <w:tcPr>
            <w:tcW w:w="2675" w:type="dxa"/>
          </w:tcPr>
          <w:p w:rsidR="007335FD" w:rsidRDefault="00815898">
            <w:pPr>
              <w:pStyle w:val="NoSpacing"/>
              <w:rPr>
                <w:sz w:val="24"/>
                <w:szCs w:val="24"/>
              </w:rPr>
            </w:pPr>
            <w:r>
              <w:rPr>
                <w:sz w:val="24"/>
                <w:szCs w:val="24"/>
              </w:rPr>
              <w:t>Curat</w:t>
            </w:r>
          </w:p>
        </w:tc>
        <w:tc>
          <w:tcPr>
            <w:tcW w:w="1543" w:type="dxa"/>
          </w:tcPr>
          <w:p w:rsidR="007335FD" w:rsidRDefault="00815898">
            <w:pPr>
              <w:pStyle w:val="NoSpacing"/>
              <w:jc w:val="center"/>
              <w:rPr>
                <w:sz w:val="24"/>
                <w:szCs w:val="24"/>
              </w:rPr>
            </w:pPr>
            <w:r>
              <w:rPr>
                <w:sz w:val="24"/>
                <w:szCs w:val="24"/>
              </w:rPr>
              <w:t>3120</w:t>
            </w:r>
          </w:p>
        </w:tc>
        <w:tc>
          <w:tcPr>
            <w:tcW w:w="1900" w:type="dxa"/>
          </w:tcPr>
          <w:p w:rsidR="007335FD" w:rsidRDefault="00815898">
            <w:pPr>
              <w:pStyle w:val="NoSpacing"/>
              <w:jc w:val="center"/>
              <w:rPr>
                <w:sz w:val="24"/>
                <w:szCs w:val="24"/>
              </w:rPr>
            </w:pPr>
            <w:r>
              <w:rPr>
                <w:sz w:val="24"/>
                <w:szCs w:val="24"/>
              </w:rPr>
              <w:t>2925</w:t>
            </w:r>
          </w:p>
        </w:tc>
        <w:tc>
          <w:tcPr>
            <w:tcW w:w="1900" w:type="dxa"/>
          </w:tcPr>
          <w:p w:rsidR="007335FD" w:rsidRDefault="00815898">
            <w:pPr>
              <w:pStyle w:val="NoSpacing"/>
              <w:jc w:val="center"/>
              <w:rPr>
                <w:sz w:val="24"/>
                <w:szCs w:val="24"/>
              </w:rPr>
            </w:pPr>
            <w:r>
              <w:rPr>
                <w:sz w:val="24"/>
                <w:szCs w:val="24"/>
              </w:rPr>
              <w:t>3034</w:t>
            </w:r>
          </w:p>
        </w:tc>
      </w:tr>
      <w:tr w:rsidR="007335FD">
        <w:tc>
          <w:tcPr>
            <w:tcW w:w="663" w:type="dxa"/>
          </w:tcPr>
          <w:p w:rsidR="007335FD" w:rsidRDefault="00815898">
            <w:pPr>
              <w:pStyle w:val="NoSpacing"/>
              <w:rPr>
                <w:sz w:val="24"/>
                <w:szCs w:val="24"/>
              </w:rPr>
            </w:pPr>
            <w:r>
              <w:rPr>
                <w:sz w:val="24"/>
                <w:szCs w:val="24"/>
              </w:rPr>
              <w:t>2</w:t>
            </w:r>
          </w:p>
        </w:tc>
        <w:tc>
          <w:tcPr>
            <w:tcW w:w="2675" w:type="dxa"/>
          </w:tcPr>
          <w:p w:rsidR="007335FD" w:rsidRDefault="00815898">
            <w:pPr>
              <w:pStyle w:val="NoSpacing"/>
              <w:rPr>
                <w:sz w:val="24"/>
                <w:szCs w:val="24"/>
              </w:rPr>
            </w:pPr>
            <w:r>
              <w:rPr>
                <w:sz w:val="24"/>
                <w:szCs w:val="24"/>
              </w:rPr>
              <w:t>Curas</w:t>
            </w:r>
          </w:p>
        </w:tc>
        <w:tc>
          <w:tcPr>
            <w:tcW w:w="1543" w:type="dxa"/>
          </w:tcPr>
          <w:p w:rsidR="007335FD" w:rsidRDefault="00815898">
            <w:pPr>
              <w:pStyle w:val="NoSpacing"/>
              <w:jc w:val="center"/>
              <w:rPr>
                <w:sz w:val="24"/>
                <w:szCs w:val="24"/>
              </w:rPr>
            </w:pPr>
            <w:r>
              <w:rPr>
                <w:sz w:val="24"/>
                <w:szCs w:val="24"/>
              </w:rPr>
              <w:t>495</w:t>
            </w:r>
          </w:p>
        </w:tc>
        <w:tc>
          <w:tcPr>
            <w:tcW w:w="1900" w:type="dxa"/>
          </w:tcPr>
          <w:p w:rsidR="007335FD" w:rsidRDefault="00815898">
            <w:pPr>
              <w:pStyle w:val="NoSpacing"/>
              <w:jc w:val="center"/>
              <w:rPr>
                <w:sz w:val="24"/>
                <w:szCs w:val="24"/>
              </w:rPr>
            </w:pPr>
            <w:r>
              <w:rPr>
                <w:sz w:val="24"/>
                <w:szCs w:val="24"/>
              </w:rPr>
              <w:t>509</w:t>
            </w:r>
          </w:p>
        </w:tc>
        <w:tc>
          <w:tcPr>
            <w:tcW w:w="1900" w:type="dxa"/>
          </w:tcPr>
          <w:p w:rsidR="007335FD" w:rsidRDefault="00815898">
            <w:pPr>
              <w:pStyle w:val="NoSpacing"/>
              <w:jc w:val="center"/>
              <w:rPr>
                <w:sz w:val="24"/>
                <w:szCs w:val="24"/>
              </w:rPr>
            </w:pPr>
            <w:r>
              <w:rPr>
                <w:sz w:val="24"/>
                <w:szCs w:val="24"/>
              </w:rPr>
              <w:t>512</w:t>
            </w:r>
          </w:p>
        </w:tc>
      </w:tr>
      <w:tr w:rsidR="007335FD">
        <w:tc>
          <w:tcPr>
            <w:tcW w:w="663" w:type="dxa"/>
          </w:tcPr>
          <w:p w:rsidR="007335FD" w:rsidRDefault="00815898">
            <w:pPr>
              <w:pStyle w:val="NoSpacing"/>
              <w:rPr>
                <w:sz w:val="24"/>
                <w:szCs w:val="24"/>
              </w:rPr>
            </w:pPr>
            <w:r>
              <w:rPr>
                <w:sz w:val="24"/>
                <w:szCs w:val="24"/>
              </w:rPr>
              <w:t>3</w:t>
            </w:r>
          </w:p>
        </w:tc>
        <w:tc>
          <w:tcPr>
            <w:tcW w:w="2675" w:type="dxa"/>
          </w:tcPr>
          <w:p w:rsidR="007335FD" w:rsidRDefault="00815898">
            <w:pPr>
              <w:pStyle w:val="NoSpacing"/>
              <w:rPr>
                <w:sz w:val="24"/>
                <w:szCs w:val="24"/>
              </w:rPr>
            </w:pPr>
            <w:r>
              <w:rPr>
                <w:sz w:val="24"/>
                <w:szCs w:val="24"/>
              </w:rPr>
              <w:t>Curanmor</w:t>
            </w:r>
          </w:p>
        </w:tc>
        <w:tc>
          <w:tcPr>
            <w:tcW w:w="1543" w:type="dxa"/>
          </w:tcPr>
          <w:p w:rsidR="007335FD" w:rsidRDefault="00815898">
            <w:pPr>
              <w:pStyle w:val="NoSpacing"/>
              <w:jc w:val="center"/>
              <w:rPr>
                <w:sz w:val="24"/>
                <w:szCs w:val="24"/>
              </w:rPr>
            </w:pPr>
            <w:r>
              <w:rPr>
                <w:sz w:val="24"/>
                <w:szCs w:val="24"/>
              </w:rPr>
              <w:t>2975</w:t>
            </w:r>
          </w:p>
        </w:tc>
        <w:tc>
          <w:tcPr>
            <w:tcW w:w="1900" w:type="dxa"/>
          </w:tcPr>
          <w:p w:rsidR="007335FD" w:rsidRDefault="00815898">
            <w:pPr>
              <w:pStyle w:val="NoSpacing"/>
              <w:jc w:val="center"/>
              <w:rPr>
                <w:sz w:val="24"/>
                <w:szCs w:val="24"/>
              </w:rPr>
            </w:pPr>
            <w:r>
              <w:rPr>
                <w:sz w:val="24"/>
                <w:szCs w:val="24"/>
              </w:rPr>
              <w:t>3143</w:t>
            </w:r>
          </w:p>
        </w:tc>
        <w:tc>
          <w:tcPr>
            <w:tcW w:w="1900" w:type="dxa"/>
          </w:tcPr>
          <w:p w:rsidR="007335FD" w:rsidRDefault="00815898">
            <w:pPr>
              <w:pStyle w:val="NoSpacing"/>
              <w:jc w:val="center"/>
              <w:rPr>
                <w:sz w:val="24"/>
                <w:szCs w:val="24"/>
              </w:rPr>
            </w:pPr>
            <w:r>
              <w:rPr>
                <w:sz w:val="24"/>
                <w:szCs w:val="24"/>
              </w:rPr>
              <w:t>2975</w:t>
            </w:r>
          </w:p>
        </w:tc>
      </w:tr>
      <w:tr w:rsidR="007335FD">
        <w:tc>
          <w:tcPr>
            <w:tcW w:w="663" w:type="dxa"/>
          </w:tcPr>
          <w:p w:rsidR="007335FD" w:rsidRDefault="00815898">
            <w:pPr>
              <w:pStyle w:val="NoSpacing"/>
              <w:rPr>
                <w:sz w:val="24"/>
                <w:szCs w:val="24"/>
              </w:rPr>
            </w:pPr>
            <w:r>
              <w:rPr>
                <w:sz w:val="24"/>
                <w:szCs w:val="24"/>
              </w:rPr>
              <w:t>4</w:t>
            </w:r>
          </w:p>
        </w:tc>
        <w:tc>
          <w:tcPr>
            <w:tcW w:w="2675" w:type="dxa"/>
          </w:tcPr>
          <w:p w:rsidR="007335FD" w:rsidRDefault="00815898">
            <w:pPr>
              <w:pStyle w:val="NoSpacing"/>
              <w:rPr>
                <w:sz w:val="24"/>
                <w:szCs w:val="24"/>
              </w:rPr>
            </w:pPr>
            <w:r>
              <w:rPr>
                <w:sz w:val="24"/>
                <w:szCs w:val="24"/>
              </w:rPr>
              <w:t>Pembakaran/Kebakaran</w:t>
            </w:r>
          </w:p>
        </w:tc>
        <w:tc>
          <w:tcPr>
            <w:tcW w:w="1543" w:type="dxa"/>
          </w:tcPr>
          <w:p w:rsidR="007335FD" w:rsidRDefault="00815898">
            <w:pPr>
              <w:pStyle w:val="NoSpacing"/>
              <w:jc w:val="center"/>
              <w:rPr>
                <w:sz w:val="24"/>
                <w:szCs w:val="24"/>
              </w:rPr>
            </w:pPr>
            <w:r>
              <w:rPr>
                <w:sz w:val="24"/>
                <w:szCs w:val="24"/>
              </w:rPr>
              <w:t>146</w:t>
            </w:r>
          </w:p>
        </w:tc>
        <w:tc>
          <w:tcPr>
            <w:tcW w:w="1900" w:type="dxa"/>
          </w:tcPr>
          <w:p w:rsidR="007335FD" w:rsidRDefault="00815898">
            <w:pPr>
              <w:pStyle w:val="NoSpacing"/>
              <w:jc w:val="center"/>
              <w:rPr>
                <w:sz w:val="24"/>
                <w:szCs w:val="24"/>
              </w:rPr>
            </w:pPr>
            <w:r>
              <w:rPr>
                <w:sz w:val="24"/>
                <w:szCs w:val="24"/>
              </w:rPr>
              <w:t>148</w:t>
            </w:r>
          </w:p>
        </w:tc>
        <w:tc>
          <w:tcPr>
            <w:tcW w:w="1900" w:type="dxa"/>
          </w:tcPr>
          <w:p w:rsidR="007335FD" w:rsidRDefault="00815898">
            <w:pPr>
              <w:pStyle w:val="NoSpacing"/>
              <w:jc w:val="center"/>
              <w:rPr>
                <w:sz w:val="24"/>
                <w:szCs w:val="24"/>
              </w:rPr>
            </w:pPr>
            <w:r>
              <w:rPr>
                <w:sz w:val="24"/>
                <w:szCs w:val="24"/>
              </w:rPr>
              <w:t>23</w:t>
            </w:r>
          </w:p>
        </w:tc>
      </w:tr>
      <w:tr w:rsidR="007335FD">
        <w:tc>
          <w:tcPr>
            <w:tcW w:w="663" w:type="dxa"/>
          </w:tcPr>
          <w:p w:rsidR="007335FD" w:rsidRDefault="00815898">
            <w:pPr>
              <w:pStyle w:val="NoSpacing"/>
              <w:rPr>
                <w:sz w:val="24"/>
                <w:szCs w:val="24"/>
              </w:rPr>
            </w:pPr>
            <w:r>
              <w:rPr>
                <w:sz w:val="24"/>
                <w:szCs w:val="24"/>
              </w:rPr>
              <w:t>5</w:t>
            </w:r>
          </w:p>
        </w:tc>
        <w:tc>
          <w:tcPr>
            <w:tcW w:w="2675" w:type="dxa"/>
          </w:tcPr>
          <w:p w:rsidR="007335FD" w:rsidRDefault="00815898">
            <w:pPr>
              <w:pStyle w:val="NoSpacing"/>
              <w:rPr>
                <w:sz w:val="24"/>
                <w:szCs w:val="24"/>
              </w:rPr>
            </w:pPr>
            <w:r>
              <w:rPr>
                <w:sz w:val="24"/>
                <w:szCs w:val="24"/>
              </w:rPr>
              <w:t>Perkosaan</w:t>
            </w:r>
          </w:p>
        </w:tc>
        <w:tc>
          <w:tcPr>
            <w:tcW w:w="1543" w:type="dxa"/>
          </w:tcPr>
          <w:p w:rsidR="007335FD" w:rsidRDefault="00815898">
            <w:pPr>
              <w:pStyle w:val="NoSpacing"/>
              <w:jc w:val="center"/>
              <w:rPr>
                <w:sz w:val="24"/>
                <w:szCs w:val="24"/>
              </w:rPr>
            </w:pPr>
            <w:r>
              <w:rPr>
                <w:sz w:val="24"/>
                <w:szCs w:val="24"/>
              </w:rPr>
              <w:t>59</w:t>
            </w:r>
          </w:p>
        </w:tc>
        <w:tc>
          <w:tcPr>
            <w:tcW w:w="1900" w:type="dxa"/>
          </w:tcPr>
          <w:p w:rsidR="007335FD" w:rsidRDefault="00815898">
            <w:pPr>
              <w:pStyle w:val="NoSpacing"/>
              <w:jc w:val="center"/>
              <w:rPr>
                <w:sz w:val="24"/>
                <w:szCs w:val="24"/>
              </w:rPr>
            </w:pPr>
            <w:r>
              <w:rPr>
                <w:sz w:val="24"/>
                <w:szCs w:val="24"/>
              </w:rPr>
              <w:t>57</w:t>
            </w:r>
          </w:p>
        </w:tc>
        <w:tc>
          <w:tcPr>
            <w:tcW w:w="1900" w:type="dxa"/>
          </w:tcPr>
          <w:p w:rsidR="007335FD" w:rsidRDefault="00815898">
            <w:pPr>
              <w:pStyle w:val="NoSpacing"/>
              <w:jc w:val="center"/>
              <w:rPr>
                <w:sz w:val="24"/>
                <w:szCs w:val="24"/>
              </w:rPr>
            </w:pPr>
            <w:r>
              <w:rPr>
                <w:sz w:val="24"/>
                <w:szCs w:val="24"/>
              </w:rPr>
              <w:t>54</w:t>
            </w:r>
          </w:p>
        </w:tc>
      </w:tr>
      <w:tr w:rsidR="007335FD">
        <w:tc>
          <w:tcPr>
            <w:tcW w:w="663" w:type="dxa"/>
          </w:tcPr>
          <w:p w:rsidR="007335FD" w:rsidRDefault="00815898">
            <w:pPr>
              <w:pStyle w:val="NoSpacing"/>
              <w:rPr>
                <w:sz w:val="24"/>
                <w:szCs w:val="24"/>
              </w:rPr>
            </w:pPr>
            <w:r>
              <w:rPr>
                <w:sz w:val="24"/>
                <w:szCs w:val="24"/>
              </w:rPr>
              <w:t>6</w:t>
            </w:r>
          </w:p>
        </w:tc>
        <w:tc>
          <w:tcPr>
            <w:tcW w:w="2675" w:type="dxa"/>
          </w:tcPr>
          <w:p w:rsidR="007335FD" w:rsidRDefault="00815898">
            <w:pPr>
              <w:pStyle w:val="NoSpacing"/>
              <w:rPr>
                <w:sz w:val="24"/>
                <w:szCs w:val="24"/>
              </w:rPr>
            </w:pPr>
            <w:r>
              <w:rPr>
                <w:sz w:val="24"/>
                <w:szCs w:val="24"/>
              </w:rPr>
              <w:t>Pembunuhan</w:t>
            </w:r>
          </w:p>
        </w:tc>
        <w:tc>
          <w:tcPr>
            <w:tcW w:w="1543" w:type="dxa"/>
          </w:tcPr>
          <w:p w:rsidR="007335FD" w:rsidRDefault="00815898">
            <w:pPr>
              <w:pStyle w:val="NoSpacing"/>
              <w:jc w:val="center"/>
              <w:rPr>
                <w:sz w:val="24"/>
                <w:szCs w:val="24"/>
              </w:rPr>
            </w:pPr>
            <w:r>
              <w:rPr>
                <w:sz w:val="24"/>
                <w:szCs w:val="24"/>
              </w:rPr>
              <w:t>18</w:t>
            </w:r>
          </w:p>
        </w:tc>
        <w:tc>
          <w:tcPr>
            <w:tcW w:w="1900" w:type="dxa"/>
          </w:tcPr>
          <w:p w:rsidR="007335FD" w:rsidRDefault="00815898">
            <w:pPr>
              <w:pStyle w:val="NoSpacing"/>
              <w:jc w:val="center"/>
              <w:rPr>
                <w:sz w:val="24"/>
                <w:szCs w:val="24"/>
              </w:rPr>
            </w:pPr>
            <w:r>
              <w:rPr>
                <w:sz w:val="24"/>
                <w:szCs w:val="24"/>
              </w:rPr>
              <w:t>20</w:t>
            </w:r>
          </w:p>
        </w:tc>
        <w:tc>
          <w:tcPr>
            <w:tcW w:w="1900" w:type="dxa"/>
          </w:tcPr>
          <w:p w:rsidR="007335FD" w:rsidRDefault="00815898">
            <w:pPr>
              <w:pStyle w:val="NoSpacing"/>
              <w:jc w:val="center"/>
              <w:rPr>
                <w:sz w:val="24"/>
                <w:szCs w:val="24"/>
              </w:rPr>
            </w:pPr>
            <w:r>
              <w:rPr>
                <w:sz w:val="24"/>
                <w:szCs w:val="24"/>
              </w:rPr>
              <w:t>14</w:t>
            </w:r>
          </w:p>
        </w:tc>
      </w:tr>
      <w:tr w:rsidR="007335FD">
        <w:tc>
          <w:tcPr>
            <w:tcW w:w="663" w:type="dxa"/>
          </w:tcPr>
          <w:p w:rsidR="007335FD" w:rsidRDefault="00815898">
            <w:pPr>
              <w:pStyle w:val="NoSpacing"/>
              <w:rPr>
                <w:sz w:val="24"/>
                <w:szCs w:val="24"/>
              </w:rPr>
            </w:pPr>
            <w:r>
              <w:rPr>
                <w:sz w:val="24"/>
                <w:szCs w:val="24"/>
              </w:rPr>
              <w:t>7</w:t>
            </w:r>
          </w:p>
        </w:tc>
        <w:tc>
          <w:tcPr>
            <w:tcW w:w="2675" w:type="dxa"/>
          </w:tcPr>
          <w:p w:rsidR="007335FD" w:rsidRDefault="00815898">
            <w:pPr>
              <w:pStyle w:val="NoSpacing"/>
              <w:rPr>
                <w:sz w:val="24"/>
                <w:szCs w:val="24"/>
              </w:rPr>
            </w:pPr>
            <w:r>
              <w:rPr>
                <w:sz w:val="24"/>
                <w:szCs w:val="24"/>
              </w:rPr>
              <w:t>Penipuan</w:t>
            </w:r>
          </w:p>
        </w:tc>
        <w:tc>
          <w:tcPr>
            <w:tcW w:w="1543" w:type="dxa"/>
          </w:tcPr>
          <w:p w:rsidR="007335FD" w:rsidRDefault="00815898">
            <w:pPr>
              <w:pStyle w:val="NoSpacing"/>
              <w:jc w:val="center"/>
              <w:rPr>
                <w:sz w:val="24"/>
                <w:szCs w:val="24"/>
              </w:rPr>
            </w:pPr>
            <w:r>
              <w:rPr>
                <w:sz w:val="24"/>
                <w:szCs w:val="24"/>
              </w:rPr>
              <w:t>1324</w:t>
            </w:r>
          </w:p>
        </w:tc>
        <w:tc>
          <w:tcPr>
            <w:tcW w:w="1900" w:type="dxa"/>
          </w:tcPr>
          <w:p w:rsidR="007335FD" w:rsidRDefault="00815898">
            <w:pPr>
              <w:pStyle w:val="NoSpacing"/>
              <w:jc w:val="center"/>
              <w:rPr>
                <w:sz w:val="24"/>
                <w:szCs w:val="24"/>
              </w:rPr>
            </w:pPr>
            <w:r>
              <w:rPr>
                <w:sz w:val="24"/>
                <w:szCs w:val="24"/>
              </w:rPr>
              <w:t>1158</w:t>
            </w:r>
          </w:p>
        </w:tc>
        <w:tc>
          <w:tcPr>
            <w:tcW w:w="1900" w:type="dxa"/>
          </w:tcPr>
          <w:p w:rsidR="007335FD" w:rsidRDefault="00815898">
            <w:pPr>
              <w:pStyle w:val="NoSpacing"/>
              <w:jc w:val="center"/>
              <w:rPr>
                <w:sz w:val="24"/>
                <w:szCs w:val="24"/>
              </w:rPr>
            </w:pPr>
            <w:r>
              <w:rPr>
                <w:sz w:val="24"/>
                <w:szCs w:val="24"/>
              </w:rPr>
              <w:t>967</w:t>
            </w:r>
          </w:p>
        </w:tc>
      </w:tr>
      <w:tr w:rsidR="007335FD">
        <w:tc>
          <w:tcPr>
            <w:tcW w:w="663" w:type="dxa"/>
          </w:tcPr>
          <w:p w:rsidR="007335FD" w:rsidRDefault="00815898">
            <w:pPr>
              <w:pStyle w:val="NoSpacing"/>
              <w:rPr>
                <w:sz w:val="24"/>
                <w:szCs w:val="24"/>
              </w:rPr>
            </w:pPr>
            <w:r>
              <w:rPr>
                <w:sz w:val="24"/>
                <w:szCs w:val="24"/>
              </w:rPr>
              <w:t>8</w:t>
            </w:r>
          </w:p>
        </w:tc>
        <w:tc>
          <w:tcPr>
            <w:tcW w:w="2675" w:type="dxa"/>
          </w:tcPr>
          <w:p w:rsidR="007335FD" w:rsidRDefault="00815898">
            <w:pPr>
              <w:pStyle w:val="NoSpacing"/>
              <w:rPr>
                <w:sz w:val="24"/>
                <w:szCs w:val="24"/>
              </w:rPr>
            </w:pPr>
            <w:r>
              <w:rPr>
                <w:sz w:val="24"/>
                <w:szCs w:val="24"/>
              </w:rPr>
              <w:t>Perusakan</w:t>
            </w:r>
          </w:p>
        </w:tc>
        <w:tc>
          <w:tcPr>
            <w:tcW w:w="1543" w:type="dxa"/>
          </w:tcPr>
          <w:p w:rsidR="007335FD" w:rsidRDefault="00815898">
            <w:pPr>
              <w:pStyle w:val="NoSpacing"/>
              <w:jc w:val="center"/>
              <w:rPr>
                <w:sz w:val="24"/>
                <w:szCs w:val="24"/>
              </w:rPr>
            </w:pPr>
            <w:r>
              <w:rPr>
                <w:sz w:val="24"/>
                <w:szCs w:val="24"/>
              </w:rPr>
              <w:t>668</w:t>
            </w:r>
          </w:p>
        </w:tc>
        <w:tc>
          <w:tcPr>
            <w:tcW w:w="1900" w:type="dxa"/>
          </w:tcPr>
          <w:p w:rsidR="007335FD" w:rsidRDefault="00815898">
            <w:pPr>
              <w:pStyle w:val="NoSpacing"/>
              <w:jc w:val="center"/>
              <w:rPr>
                <w:sz w:val="24"/>
                <w:szCs w:val="24"/>
              </w:rPr>
            </w:pPr>
            <w:r>
              <w:rPr>
                <w:sz w:val="24"/>
                <w:szCs w:val="24"/>
              </w:rPr>
              <w:t>600</w:t>
            </w:r>
          </w:p>
        </w:tc>
        <w:tc>
          <w:tcPr>
            <w:tcW w:w="1900" w:type="dxa"/>
          </w:tcPr>
          <w:p w:rsidR="007335FD" w:rsidRDefault="00815898">
            <w:pPr>
              <w:pStyle w:val="NoSpacing"/>
              <w:jc w:val="center"/>
              <w:rPr>
                <w:sz w:val="24"/>
                <w:szCs w:val="24"/>
              </w:rPr>
            </w:pPr>
            <w:r>
              <w:rPr>
                <w:sz w:val="24"/>
                <w:szCs w:val="24"/>
              </w:rPr>
              <w:t>451</w:t>
            </w:r>
          </w:p>
        </w:tc>
      </w:tr>
      <w:tr w:rsidR="007335FD">
        <w:tc>
          <w:tcPr>
            <w:tcW w:w="663" w:type="dxa"/>
          </w:tcPr>
          <w:p w:rsidR="007335FD" w:rsidRDefault="00815898">
            <w:pPr>
              <w:pStyle w:val="NoSpacing"/>
              <w:rPr>
                <w:sz w:val="24"/>
                <w:szCs w:val="24"/>
              </w:rPr>
            </w:pPr>
            <w:r>
              <w:rPr>
                <w:sz w:val="24"/>
                <w:szCs w:val="24"/>
              </w:rPr>
              <w:t>9</w:t>
            </w:r>
          </w:p>
        </w:tc>
        <w:tc>
          <w:tcPr>
            <w:tcW w:w="2675" w:type="dxa"/>
          </w:tcPr>
          <w:p w:rsidR="007335FD" w:rsidRDefault="00815898">
            <w:pPr>
              <w:pStyle w:val="NoSpacing"/>
              <w:rPr>
                <w:sz w:val="24"/>
                <w:szCs w:val="24"/>
              </w:rPr>
            </w:pPr>
            <w:r>
              <w:rPr>
                <w:sz w:val="24"/>
                <w:szCs w:val="24"/>
              </w:rPr>
              <w:t>Narkoba</w:t>
            </w:r>
          </w:p>
        </w:tc>
        <w:tc>
          <w:tcPr>
            <w:tcW w:w="1543" w:type="dxa"/>
          </w:tcPr>
          <w:p w:rsidR="007335FD" w:rsidRDefault="00815898">
            <w:pPr>
              <w:pStyle w:val="NoSpacing"/>
              <w:jc w:val="center"/>
              <w:rPr>
                <w:sz w:val="24"/>
                <w:szCs w:val="24"/>
              </w:rPr>
            </w:pPr>
            <w:r>
              <w:rPr>
                <w:sz w:val="24"/>
                <w:szCs w:val="24"/>
              </w:rPr>
              <w:t>635</w:t>
            </w:r>
          </w:p>
        </w:tc>
        <w:tc>
          <w:tcPr>
            <w:tcW w:w="1900" w:type="dxa"/>
          </w:tcPr>
          <w:p w:rsidR="007335FD" w:rsidRDefault="00815898">
            <w:pPr>
              <w:pStyle w:val="NoSpacing"/>
              <w:jc w:val="center"/>
              <w:rPr>
                <w:sz w:val="24"/>
                <w:szCs w:val="24"/>
              </w:rPr>
            </w:pPr>
            <w:r>
              <w:rPr>
                <w:sz w:val="24"/>
                <w:szCs w:val="24"/>
              </w:rPr>
              <w:t>824</w:t>
            </w:r>
          </w:p>
        </w:tc>
        <w:tc>
          <w:tcPr>
            <w:tcW w:w="1900" w:type="dxa"/>
          </w:tcPr>
          <w:p w:rsidR="007335FD" w:rsidRDefault="00815898">
            <w:pPr>
              <w:pStyle w:val="NoSpacing"/>
              <w:jc w:val="center"/>
              <w:rPr>
                <w:sz w:val="24"/>
                <w:szCs w:val="24"/>
              </w:rPr>
            </w:pPr>
            <w:r>
              <w:rPr>
                <w:sz w:val="24"/>
                <w:szCs w:val="24"/>
              </w:rPr>
              <w:t>592</w:t>
            </w:r>
          </w:p>
        </w:tc>
      </w:tr>
      <w:tr w:rsidR="007335FD">
        <w:tc>
          <w:tcPr>
            <w:tcW w:w="663" w:type="dxa"/>
            <w:tcBorders>
              <w:bottom w:val="single" w:sz="4" w:space="0" w:color="auto"/>
            </w:tcBorders>
          </w:tcPr>
          <w:p w:rsidR="007335FD" w:rsidRDefault="00815898">
            <w:pPr>
              <w:pStyle w:val="NoSpacing"/>
              <w:rPr>
                <w:sz w:val="24"/>
                <w:szCs w:val="24"/>
              </w:rPr>
            </w:pPr>
            <w:r>
              <w:rPr>
                <w:sz w:val="24"/>
                <w:szCs w:val="24"/>
              </w:rPr>
              <w:t>10</w:t>
            </w:r>
          </w:p>
        </w:tc>
        <w:tc>
          <w:tcPr>
            <w:tcW w:w="2675" w:type="dxa"/>
            <w:tcBorders>
              <w:bottom w:val="single" w:sz="4" w:space="0" w:color="auto"/>
            </w:tcBorders>
          </w:tcPr>
          <w:p w:rsidR="007335FD" w:rsidRDefault="00815898">
            <w:pPr>
              <w:pStyle w:val="NoSpacing"/>
              <w:rPr>
                <w:sz w:val="24"/>
                <w:szCs w:val="24"/>
              </w:rPr>
            </w:pPr>
            <w:r>
              <w:rPr>
                <w:sz w:val="24"/>
                <w:szCs w:val="24"/>
              </w:rPr>
              <w:t>Penganiayaan</w:t>
            </w:r>
          </w:p>
        </w:tc>
        <w:tc>
          <w:tcPr>
            <w:tcW w:w="1543" w:type="dxa"/>
            <w:tcBorders>
              <w:bottom w:val="single" w:sz="4" w:space="0" w:color="auto"/>
            </w:tcBorders>
          </w:tcPr>
          <w:p w:rsidR="007335FD" w:rsidRDefault="00815898">
            <w:pPr>
              <w:pStyle w:val="NoSpacing"/>
              <w:jc w:val="center"/>
              <w:rPr>
                <w:sz w:val="24"/>
                <w:szCs w:val="24"/>
              </w:rPr>
            </w:pPr>
            <w:r>
              <w:rPr>
                <w:sz w:val="24"/>
                <w:szCs w:val="24"/>
              </w:rPr>
              <w:t>3024</w:t>
            </w:r>
          </w:p>
        </w:tc>
        <w:tc>
          <w:tcPr>
            <w:tcW w:w="1900" w:type="dxa"/>
            <w:tcBorders>
              <w:bottom w:val="single" w:sz="4" w:space="0" w:color="auto"/>
            </w:tcBorders>
          </w:tcPr>
          <w:p w:rsidR="007335FD" w:rsidRDefault="00815898">
            <w:pPr>
              <w:pStyle w:val="NoSpacing"/>
              <w:jc w:val="center"/>
              <w:rPr>
                <w:sz w:val="24"/>
                <w:szCs w:val="24"/>
              </w:rPr>
            </w:pPr>
            <w:r>
              <w:rPr>
                <w:sz w:val="24"/>
                <w:szCs w:val="24"/>
              </w:rPr>
              <w:t>2305</w:t>
            </w:r>
          </w:p>
        </w:tc>
        <w:tc>
          <w:tcPr>
            <w:tcW w:w="1900" w:type="dxa"/>
            <w:tcBorders>
              <w:bottom w:val="single" w:sz="4" w:space="0" w:color="auto"/>
            </w:tcBorders>
          </w:tcPr>
          <w:p w:rsidR="007335FD" w:rsidRDefault="00815898">
            <w:pPr>
              <w:pStyle w:val="NoSpacing"/>
              <w:jc w:val="center"/>
              <w:rPr>
                <w:sz w:val="24"/>
                <w:szCs w:val="24"/>
              </w:rPr>
            </w:pPr>
            <w:r>
              <w:rPr>
                <w:sz w:val="24"/>
                <w:szCs w:val="24"/>
              </w:rPr>
              <w:t>2073</w:t>
            </w:r>
          </w:p>
        </w:tc>
      </w:tr>
      <w:tr w:rsidR="007335FD">
        <w:tc>
          <w:tcPr>
            <w:tcW w:w="3338" w:type="dxa"/>
            <w:gridSpan w:val="2"/>
            <w:shd w:val="clear" w:color="auto" w:fill="C00000"/>
          </w:tcPr>
          <w:p w:rsidR="007335FD" w:rsidRDefault="00815898">
            <w:pPr>
              <w:pStyle w:val="NoSpacing"/>
              <w:jc w:val="center"/>
              <w:rPr>
                <w:b/>
                <w:sz w:val="24"/>
                <w:szCs w:val="24"/>
              </w:rPr>
            </w:pPr>
            <w:r>
              <w:rPr>
                <w:b/>
                <w:sz w:val="24"/>
                <w:szCs w:val="24"/>
              </w:rPr>
              <w:t>Total</w:t>
            </w:r>
          </w:p>
        </w:tc>
        <w:tc>
          <w:tcPr>
            <w:tcW w:w="1543" w:type="dxa"/>
            <w:shd w:val="clear" w:color="auto" w:fill="C00000"/>
          </w:tcPr>
          <w:p w:rsidR="007335FD" w:rsidRDefault="00815898">
            <w:pPr>
              <w:pStyle w:val="NoSpacing"/>
              <w:jc w:val="center"/>
              <w:rPr>
                <w:b/>
                <w:sz w:val="24"/>
                <w:szCs w:val="24"/>
              </w:rPr>
            </w:pPr>
            <w:r>
              <w:rPr>
                <w:b/>
                <w:sz w:val="24"/>
                <w:szCs w:val="24"/>
              </w:rPr>
              <w:t>12.464</w:t>
            </w:r>
          </w:p>
        </w:tc>
        <w:tc>
          <w:tcPr>
            <w:tcW w:w="1900" w:type="dxa"/>
            <w:shd w:val="clear" w:color="auto" w:fill="C00000"/>
          </w:tcPr>
          <w:p w:rsidR="007335FD" w:rsidRDefault="00815898">
            <w:pPr>
              <w:pStyle w:val="NoSpacing"/>
              <w:jc w:val="center"/>
              <w:rPr>
                <w:b/>
                <w:sz w:val="24"/>
                <w:szCs w:val="24"/>
              </w:rPr>
            </w:pPr>
            <w:r>
              <w:rPr>
                <w:b/>
                <w:sz w:val="24"/>
                <w:szCs w:val="24"/>
              </w:rPr>
              <w:t>11.689</w:t>
            </w:r>
          </w:p>
        </w:tc>
        <w:tc>
          <w:tcPr>
            <w:tcW w:w="1900" w:type="dxa"/>
            <w:shd w:val="clear" w:color="auto" w:fill="C00000"/>
          </w:tcPr>
          <w:p w:rsidR="007335FD" w:rsidRDefault="00815898">
            <w:pPr>
              <w:pStyle w:val="NoSpacing"/>
              <w:jc w:val="center"/>
              <w:rPr>
                <w:b/>
                <w:sz w:val="24"/>
                <w:szCs w:val="24"/>
              </w:rPr>
            </w:pPr>
            <w:r>
              <w:rPr>
                <w:b/>
                <w:sz w:val="24"/>
                <w:szCs w:val="24"/>
              </w:rPr>
              <w:t>10.695</w:t>
            </w:r>
          </w:p>
        </w:tc>
      </w:tr>
    </w:tbl>
    <w:p w:rsidR="007335FD" w:rsidRDefault="00815898">
      <w:pPr>
        <w:autoSpaceDE w:val="0"/>
        <w:autoSpaceDN w:val="0"/>
        <w:adjustRightInd w:val="0"/>
        <w:spacing w:after="0" w:line="360" w:lineRule="auto"/>
        <w:ind w:firstLineChars="150" w:firstLine="360"/>
        <w:jc w:val="both"/>
        <w:rPr>
          <w:rFonts w:cs="Aparajita"/>
          <w:bCs/>
          <w:i/>
          <w:iCs/>
          <w:sz w:val="24"/>
          <w:szCs w:val="24"/>
        </w:rPr>
      </w:pPr>
      <w:proofErr w:type="gramStart"/>
      <w:r>
        <w:rPr>
          <w:rFonts w:cs="Aparajita"/>
          <w:bCs/>
          <w:i/>
          <w:iCs/>
          <w:sz w:val="24"/>
          <w:szCs w:val="24"/>
        </w:rPr>
        <w:t>Sumber :</w:t>
      </w:r>
      <w:proofErr w:type="gramEnd"/>
      <w:r>
        <w:rPr>
          <w:rFonts w:cs="Aparajita"/>
          <w:bCs/>
          <w:i/>
          <w:iCs/>
          <w:sz w:val="24"/>
          <w:szCs w:val="24"/>
        </w:rPr>
        <w:t xml:space="preserve"> Badan Pusat Statistik Provinsi Sumatera Barat</w:t>
      </w:r>
    </w:p>
    <w:p w:rsidR="007335FD" w:rsidRDefault="007335FD">
      <w:pPr>
        <w:autoSpaceDE w:val="0"/>
        <w:autoSpaceDN w:val="0"/>
        <w:adjustRightInd w:val="0"/>
        <w:spacing w:after="0" w:line="360" w:lineRule="auto"/>
        <w:ind w:firstLineChars="150" w:firstLine="360"/>
        <w:jc w:val="both"/>
        <w:rPr>
          <w:rFonts w:cs="Aparajita"/>
          <w:bCs/>
          <w:i/>
          <w:iCs/>
          <w:sz w:val="24"/>
          <w:szCs w:val="24"/>
        </w:rPr>
      </w:pPr>
    </w:p>
    <w:p w:rsidR="007335FD" w:rsidRDefault="00815898">
      <w:pPr>
        <w:autoSpaceDE w:val="0"/>
        <w:autoSpaceDN w:val="0"/>
        <w:adjustRightInd w:val="0"/>
        <w:spacing w:after="0" w:line="360" w:lineRule="auto"/>
        <w:jc w:val="center"/>
        <w:rPr>
          <w:rFonts w:cs="Aparajita"/>
          <w:b/>
          <w:sz w:val="24"/>
          <w:szCs w:val="24"/>
        </w:rPr>
      </w:pPr>
      <w:r>
        <w:rPr>
          <w:rFonts w:cs="Aparajita"/>
          <w:b/>
          <w:noProof/>
          <w:sz w:val="24"/>
          <w:szCs w:val="24"/>
        </w:rPr>
        <w:lastRenderedPageBreak/>
        <w:drawing>
          <wp:inline distT="0" distB="0" distL="0" distR="0">
            <wp:extent cx="4377055" cy="2042795"/>
            <wp:effectExtent l="19050" t="1905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335FD" w:rsidRDefault="007335FD">
      <w:pPr>
        <w:autoSpaceDE w:val="0"/>
        <w:autoSpaceDN w:val="0"/>
        <w:adjustRightInd w:val="0"/>
        <w:spacing w:after="0" w:line="360" w:lineRule="auto"/>
        <w:ind w:firstLine="426"/>
        <w:jc w:val="both"/>
        <w:rPr>
          <w:rFonts w:cs="Cambria"/>
          <w:sz w:val="24"/>
          <w:szCs w:val="24"/>
        </w:rPr>
      </w:pPr>
    </w:p>
    <w:p w:rsidR="007335FD" w:rsidRDefault="00815898">
      <w:pPr>
        <w:pStyle w:val="ListParagraph"/>
        <w:spacing w:after="0" w:line="360" w:lineRule="auto"/>
        <w:ind w:leftChars="200" w:left="440" w:firstLine="660"/>
        <w:jc w:val="both"/>
        <w:rPr>
          <w:rFonts w:cs="Tahoma"/>
          <w:sz w:val="24"/>
          <w:szCs w:val="24"/>
        </w:rPr>
      </w:pPr>
      <w:r>
        <w:rPr>
          <w:rFonts w:cs="Tahoma"/>
          <w:sz w:val="24"/>
          <w:szCs w:val="24"/>
        </w:rPr>
        <w:t xml:space="preserve">Adapun capaian indikator kinerja persentase penurunan angka kriminalitas di Sumbar mengalami trend peningkatan jika dibandingkan dengan tahun-tahun sebelumnya, sebagaimana yang disajikan pada tabel </w:t>
      </w:r>
      <w:proofErr w:type="gramStart"/>
      <w:r>
        <w:rPr>
          <w:rFonts w:cs="Tahoma"/>
          <w:sz w:val="24"/>
          <w:szCs w:val="24"/>
        </w:rPr>
        <w:t>berikut :</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3.18</w:t>
      </w:r>
    </w:p>
    <w:p w:rsidR="007335FD" w:rsidRDefault="00815898">
      <w:pPr>
        <w:pStyle w:val="NoSpacing"/>
        <w:jc w:val="center"/>
        <w:rPr>
          <w:rFonts w:hAnsi="Berlin Sans FB Demi"/>
          <w:b/>
          <w:bCs/>
          <w:sz w:val="24"/>
          <w:szCs w:val="24"/>
        </w:rPr>
      </w:pPr>
      <w:r>
        <w:rPr>
          <w:rFonts w:hAnsi="Berlin Sans FB Demi"/>
          <w:b/>
          <w:bCs/>
          <w:sz w:val="24"/>
          <w:szCs w:val="24"/>
        </w:rPr>
        <w:t>Realisasi dan Capaian Persentase Penurunan Angka Kriminalitas di Sumbar</w:t>
      </w:r>
    </w:p>
    <w:p w:rsidR="007335FD" w:rsidRDefault="00815898">
      <w:pPr>
        <w:pStyle w:val="NoSpacing"/>
        <w:jc w:val="center"/>
        <w:rPr>
          <w:rFonts w:ascii="Berlin Sans FB Demi" w:hAnsi="Berlin Sans FB Demi"/>
          <w:sz w:val="24"/>
          <w:szCs w:val="24"/>
        </w:rPr>
      </w:pPr>
      <w:r>
        <w:rPr>
          <w:rFonts w:hAnsi="Berlin Sans FB Demi"/>
          <w:b/>
          <w:bCs/>
          <w:sz w:val="24"/>
          <w:szCs w:val="24"/>
        </w:rPr>
        <w:t>Tahun 2016-2018</w:t>
      </w:r>
    </w:p>
    <w:tbl>
      <w:tblPr>
        <w:tblStyle w:val="TableGrid"/>
        <w:tblpPr w:leftFromText="180" w:rightFromText="180" w:vertAnchor="text" w:horzAnchor="page" w:tblpX="2575" w:tblpY="173"/>
        <w:tblOverlap w:val="never"/>
        <w:tblW w:w="8233" w:type="dxa"/>
        <w:tblLayout w:type="fixed"/>
        <w:tblLook w:val="04A0" w:firstRow="1" w:lastRow="0" w:firstColumn="1" w:lastColumn="0" w:noHBand="0" w:noVBand="1"/>
      </w:tblPr>
      <w:tblGrid>
        <w:gridCol w:w="542"/>
        <w:gridCol w:w="2328"/>
        <w:gridCol w:w="1000"/>
        <w:gridCol w:w="900"/>
        <w:gridCol w:w="800"/>
        <w:gridCol w:w="850"/>
        <w:gridCol w:w="988"/>
        <w:gridCol w:w="825"/>
      </w:tblGrid>
      <w:tr w:rsidR="007335FD">
        <w:tc>
          <w:tcPr>
            <w:tcW w:w="542"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No</w:t>
            </w:r>
          </w:p>
        </w:tc>
        <w:tc>
          <w:tcPr>
            <w:tcW w:w="2328"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Indikator Kinerja</w:t>
            </w:r>
          </w:p>
        </w:tc>
        <w:tc>
          <w:tcPr>
            <w:tcW w:w="2700" w:type="dxa"/>
            <w:gridSpan w:val="3"/>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Realisasi</w:t>
            </w:r>
          </w:p>
        </w:tc>
        <w:tc>
          <w:tcPr>
            <w:tcW w:w="2663" w:type="dxa"/>
            <w:gridSpan w:val="3"/>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Capaian</w:t>
            </w:r>
          </w:p>
        </w:tc>
      </w:tr>
      <w:tr w:rsidR="007335FD">
        <w:tc>
          <w:tcPr>
            <w:tcW w:w="542"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2328"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rPr>
            </w:pPr>
          </w:p>
        </w:tc>
        <w:tc>
          <w:tcPr>
            <w:tcW w:w="1000" w:type="dxa"/>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2016</w:t>
            </w:r>
          </w:p>
        </w:tc>
        <w:tc>
          <w:tcPr>
            <w:tcW w:w="900" w:type="dxa"/>
            <w:shd w:val="clear" w:color="auto" w:fill="C00000"/>
            <w:vAlign w:val="center"/>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2017</w:t>
            </w:r>
          </w:p>
        </w:tc>
        <w:tc>
          <w:tcPr>
            <w:tcW w:w="800"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2018</w:t>
            </w:r>
          </w:p>
        </w:tc>
        <w:tc>
          <w:tcPr>
            <w:tcW w:w="850"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2016</w:t>
            </w:r>
          </w:p>
        </w:tc>
        <w:tc>
          <w:tcPr>
            <w:tcW w:w="988"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2017</w:t>
            </w:r>
          </w:p>
        </w:tc>
        <w:tc>
          <w:tcPr>
            <w:tcW w:w="825" w:type="dxa"/>
            <w:shd w:val="clear" w:color="auto" w:fill="C00000"/>
          </w:tcPr>
          <w:p w:rsidR="007335FD" w:rsidRDefault="00815898">
            <w:pPr>
              <w:pStyle w:val="ListParagraph"/>
              <w:spacing w:line="360" w:lineRule="auto"/>
              <w:ind w:left="0"/>
              <w:jc w:val="center"/>
              <w:rPr>
                <w:rFonts w:hAnsi="Rockwell"/>
                <w:b/>
                <w:color w:val="FFFFFF" w:themeColor="background1"/>
              </w:rPr>
            </w:pPr>
            <w:r>
              <w:rPr>
                <w:rFonts w:hAnsi="Rockwell"/>
                <w:b/>
                <w:color w:val="FFFFFF" w:themeColor="background1"/>
              </w:rPr>
              <w:t>2018</w:t>
            </w:r>
          </w:p>
        </w:tc>
      </w:tr>
      <w:tr w:rsidR="007335FD">
        <w:trPr>
          <w:trHeight w:val="275"/>
        </w:trPr>
        <w:tc>
          <w:tcPr>
            <w:tcW w:w="542" w:type="dxa"/>
          </w:tcPr>
          <w:p w:rsidR="007335FD" w:rsidRDefault="00815898">
            <w:pPr>
              <w:pStyle w:val="ListParagraph"/>
              <w:spacing w:line="360" w:lineRule="auto"/>
              <w:ind w:left="0"/>
              <w:jc w:val="both"/>
              <w:rPr>
                <w:rFonts w:hAnsi="Rockwell"/>
              </w:rPr>
            </w:pPr>
            <w:r>
              <w:rPr>
                <w:rFonts w:hAnsi="Rockwell"/>
              </w:rPr>
              <w:t>1</w:t>
            </w:r>
          </w:p>
        </w:tc>
        <w:tc>
          <w:tcPr>
            <w:tcW w:w="2328" w:type="dxa"/>
          </w:tcPr>
          <w:p w:rsidR="007335FD" w:rsidRDefault="00815898">
            <w:pPr>
              <w:pStyle w:val="NoSpacing"/>
              <w:jc w:val="left"/>
              <w:rPr>
                <w:sz w:val="24"/>
                <w:szCs w:val="24"/>
              </w:rPr>
            </w:pPr>
            <w:r>
              <w:rPr>
                <w:sz w:val="24"/>
                <w:szCs w:val="24"/>
              </w:rPr>
              <w:t>Persentase penurunan angka kriminalitas di Sumbar</w:t>
            </w:r>
          </w:p>
        </w:tc>
        <w:tc>
          <w:tcPr>
            <w:tcW w:w="1000" w:type="dxa"/>
          </w:tcPr>
          <w:p w:rsidR="007335FD" w:rsidRDefault="00815898">
            <w:pPr>
              <w:pStyle w:val="ListParagraph"/>
              <w:spacing w:line="360" w:lineRule="auto"/>
              <w:ind w:left="0"/>
              <w:jc w:val="center"/>
              <w:rPr>
                <w:rFonts w:hAnsi="Rockwell"/>
              </w:rPr>
            </w:pPr>
            <w:r>
              <w:rPr>
                <w:rFonts w:hAnsi="Rockwell"/>
              </w:rPr>
              <w:t>1,94%</w:t>
            </w:r>
          </w:p>
        </w:tc>
        <w:tc>
          <w:tcPr>
            <w:tcW w:w="900" w:type="dxa"/>
          </w:tcPr>
          <w:p w:rsidR="007335FD" w:rsidRDefault="00815898">
            <w:pPr>
              <w:pStyle w:val="ListParagraph"/>
              <w:spacing w:line="360" w:lineRule="auto"/>
              <w:ind w:left="0"/>
              <w:jc w:val="center"/>
              <w:rPr>
                <w:rFonts w:hAnsi="Rockwell"/>
              </w:rPr>
            </w:pPr>
            <w:r>
              <w:rPr>
                <w:rFonts w:hAnsi="Rockwell"/>
              </w:rPr>
              <w:t>6,21%</w:t>
            </w:r>
          </w:p>
        </w:tc>
        <w:tc>
          <w:tcPr>
            <w:tcW w:w="800" w:type="dxa"/>
          </w:tcPr>
          <w:p w:rsidR="007335FD" w:rsidRDefault="00815898">
            <w:pPr>
              <w:pStyle w:val="ListParagraph"/>
              <w:spacing w:line="360" w:lineRule="auto"/>
              <w:ind w:left="0"/>
              <w:jc w:val="center"/>
              <w:rPr>
                <w:rFonts w:hAnsi="Rockwell"/>
              </w:rPr>
            </w:pPr>
            <w:r>
              <w:rPr>
                <w:rFonts w:hAnsi="Rockwell"/>
              </w:rPr>
              <w:t>8,5%</w:t>
            </w:r>
          </w:p>
        </w:tc>
        <w:tc>
          <w:tcPr>
            <w:tcW w:w="850" w:type="dxa"/>
          </w:tcPr>
          <w:p w:rsidR="007335FD" w:rsidRDefault="00815898">
            <w:pPr>
              <w:pStyle w:val="ListParagraph"/>
              <w:spacing w:line="360" w:lineRule="auto"/>
              <w:ind w:left="0"/>
              <w:jc w:val="center"/>
              <w:rPr>
                <w:rFonts w:hAnsi="Rockwell"/>
              </w:rPr>
            </w:pPr>
            <w:r>
              <w:rPr>
                <w:rFonts w:hAnsi="Rockwell"/>
              </w:rPr>
              <w:t>38,8%</w:t>
            </w:r>
          </w:p>
        </w:tc>
        <w:tc>
          <w:tcPr>
            <w:tcW w:w="988" w:type="dxa"/>
          </w:tcPr>
          <w:p w:rsidR="007335FD" w:rsidRDefault="00815898">
            <w:pPr>
              <w:pStyle w:val="ListParagraph"/>
              <w:spacing w:line="360" w:lineRule="auto"/>
              <w:ind w:left="0"/>
              <w:jc w:val="center"/>
              <w:rPr>
                <w:rFonts w:hAnsi="Rockwell"/>
              </w:rPr>
            </w:pPr>
            <w:r>
              <w:rPr>
                <w:rFonts w:hAnsi="Rockwell"/>
              </w:rPr>
              <w:t>124,2%</w:t>
            </w:r>
          </w:p>
        </w:tc>
        <w:tc>
          <w:tcPr>
            <w:tcW w:w="825" w:type="dxa"/>
          </w:tcPr>
          <w:p w:rsidR="007335FD" w:rsidRDefault="00815898">
            <w:pPr>
              <w:pStyle w:val="ListParagraph"/>
              <w:spacing w:line="360" w:lineRule="auto"/>
              <w:ind w:left="0"/>
              <w:jc w:val="center"/>
              <w:rPr>
                <w:rFonts w:hAnsi="Rockwell"/>
              </w:rPr>
            </w:pPr>
            <w:r>
              <w:rPr>
                <w:rFonts w:hAnsi="Rockwell"/>
              </w:rPr>
              <w:t>170%</w:t>
            </w:r>
          </w:p>
        </w:tc>
      </w:tr>
    </w:tbl>
    <w:p w:rsidR="007335FD" w:rsidRDefault="007335FD">
      <w:pPr>
        <w:pStyle w:val="NoSpacing"/>
        <w:jc w:val="center"/>
      </w:pPr>
    </w:p>
    <w:p w:rsidR="007335FD" w:rsidRDefault="007335FD">
      <w:pPr>
        <w:autoSpaceDE w:val="0"/>
        <w:autoSpaceDN w:val="0"/>
        <w:adjustRightInd w:val="0"/>
        <w:spacing w:after="0" w:line="360" w:lineRule="auto"/>
        <w:ind w:firstLine="426"/>
        <w:jc w:val="both"/>
        <w:rPr>
          <w:rFonts w:cs="Aparajita"/>
          <w:b/>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Grafik 3.8</w:t>
      </w:r>
    </w:p>
    <w:p w:rsidR="007335FD" w:rsidRDefault="00815898">
      <w:pPr>
        <w:pStyle w:val="NoSpacing"/>
        <w:jc w:val="center"/>
        <w:rPr>
          <w:rFonts w:hAnsi="Berlin Sans FB Demi"/>
          <w:b/>
          <w:bCs/>
          <w:sz w:val="24"/>
          <w:szCs w:val="24"/>
        </w:rPr>
      </w:pPr>
      <w:r>
        <w:rPr>
          <w:rFonts w:hAnsi="Berlin Sans FB Demi"/>
          <w:b/>
          <w:bCs/>
          <w:sz w:val="24"/>
          <w:szCs w:val="24"/>
        </w:rPr>
        <w:t>Realisasi dan Capaian Indikator Kinerja Persentase Penurunan Angka Kriminalitas</w:t>
      </w:r>
    </w:p>
    <w:p w:rsidR="007335FD" w:rsidRDefault="00815898">
      <w:pPr>
        <w:pStyle w:val="NoSpacing"/>
        <w:jc w:val="center"/>
        <w:rPr>
          <w:rFonts w:hAnsi="Berlin Sans FB Demi"/>
          <w:b/>
          <w:bCs/>
          <w:sz w:val="24"/>
          <w:szCs w:val="24"/>
        </w:rPr>
      </w:pPr>
      <w:proofErr w:type="gramStart"/>
      <w:r>
        <w:rPr>
          <w:rFonts w:hAnsi="Berlin Sans FB Demi"/>
          <w:b/>
          <w:bCs/>
          <w:sz w:val="24"/>
          <w:szCs w:val="24"/>
        </w:rPr>
        <w:t>di</w:t>
      </w:r>
      <w:proofErr w:type="gramEnd"/>
      <w:r>
        <w:rPr>
          <w:rFonts w:hAnsi="Berlin Sans FB Demi"/>
          <w:b/>
          <w:bCs/>
          <w:sz w:val="24"/>
          <w:szCs w:val="24"/>
        </w:rPr>
        <w:t xml:space="preserve"> Sumbar Tahun 2016-201</w:t>
      </w:r>
    </w:p>
    <w:p w:rsidR="007335FD" w:rsidRDefault="00815898">
      <w:pPr>
        <w:autoSpaceDE w:val="0"/>
        <w:autoSpaceDN w:val="0"/>
        <w:adjustRightInd w:val="0"/>
        <w:spacing w:after="0" w:line="360" w:lineRule="auto"/>
        <w:ind w:firstLine="426"/>
        <w:jc w:val="center"/>
        <w:rPr>
          <w:rFonts w:cs="Aparajita"/>
          <w:b/>
          <w:sz w:val="24"/>
          <w:szCs w:val="24"/>
        </w:rPr>
      </w:pPr>
      <w:r>
        <w:rPr>
          <w:rFonts w:cs="Aparajita"/>
          <w:b/>
          <w:noProof/>
          <w:sz w:val="24"/>
          <w:szCs w:val="24"/>
        </w:rPr>
        <w:drawing>
          <wp:inline distT="0" distB="0" distL="0" distR="0">
            <wp:extent cx="3453130" cy="1964690"/>
            <wp:effectExtent l="19050" t="19050" r="20320" b="228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335FD" w:rsidRDefault="007335FD">
      <w:pPr>
        <w:autoSpaceDE w:val="0"/>
        <w:autoSpaceDN w:val="0"/>
        <w:adjustRightInd w:val="0"/>
        <w:spacing w:after="0" w:line="360" w:lineRule="auto"/>
        <w:ind w:firstLine="720"/>
        <w:jc w:val="both"/>
        <w:rPr>
          <w:rFonts w:cs="Cambria"/>
          <w:sz w:val="24"/>
          <w:szCs w:val="24"/>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Peningkatan capaian kinerja indikator persentase penurunan angka kriminalitas selama 3 tahun terakhir dipengaruhi oleh banyak faktor, </w:t>
      </w:r>
      <w:proofErr w:type="gramStart"/>
      <w:r>
        <w:rPr>
          <w:rFonts w:cs="Cambria"/>
          <w:sz w:val="24"/>
          <w:szCs w:val="24"/>
        </w:rPr>
        <w:t>diantaranya :</w:t>
      </w:r>
      <w:proofErr w:type="gramEnd"/>
    </w:p>
    <w:p w:rsidR="007335FD" w:rsidRDefault="00815898" w:rsidP="00815898">
      <w:pPr>
        <w:pStyle w:val="ListParagraph"/>
        <w:numPr>
          <w:ilvl w:val="0"/>
          <w:numId w:val="46"/>
        </w:numPr>
        <w:tabs>
          <w:tab w:val="clear" w:pos="425"/>
        </w:tabs>
        <w:autoSpaceDE w:val="0"/>
        <w:autoSpaceDN w:val="0"/>
        <w:adjustRightInd w:val="0"/>
        <w:spacing w:after="0" w:line="360" w:lineRule="auto"/>
        <w:ind w:leftChars="200" w:left="877" w:hangingChars="182" w:hanging="437"/>
        <w:jc w:val="both"/>
        <w:rPr>
          <w:rFonts w:cs="Aparajita"/>
          <w:sz w:val="24"/>
          <w:szCs w:val="24"/>
        </w:rPr>
      </w:pPr>
      <w:r>
        <w:rPr>
          <w:rFonts w:cs="Aparajita"/>
          <w:sz w:val="24"/>
          <w:szCs w:val="24"/>
        </w:rPr>
        <w:lastRenderedPageBreak/>
        <w:t xml:space="preserve">   Adanya sosialisasi dan pembekalan yang diselenggarakan oleh Badan Kesbangpol bagi masyarakat khususnya kalangan pelajar dan generasi muda yang di beberapa daerah di Sumbar sebagai salah satu upaya pencegahan dan pemberantasan maksiat serta pencegahan penyalahgunaan peredaran gelap narkoba di Sumbar.</w:t>
      </w:r>
    </w:p>
    <w:p w:rsidR="007335FD" w:rsidRDefault="00815898" w:rsidP="00815898">
      <w:pPr>
        <w:pStyle w:val="ListParagraph"/>
        <w:numPr>
          <w:ilvl w:val="0"/>
          <w:numId w:val="46"/>
        </w:numPr>
        <w:tabs>
          <w:tab w:val="clear" w:pos="425"/>
        </w:tabs>
        <w:autoSpaceDE w:val="0"/>
        <w:autoSpaceDN w:val="0"/>
        <w:adjustRightInd w:val="0"/>
        <w:spacing w:after="0" w:line="360" w:lineRule="auto"/>
        <w:ind w:leftChars="200" w:left="877" w:hangingChars="182" w:hanging="437"/>
        <w:jc w:val="both"/>
        <w:rPr>
          <w:rFonts w:cs="Aparajita"/>
          <w:sz w:val="24"/>
          <w:szCs w:val="24"/>
        </w:rPr>
      </w:pPr>
      <w:r>
        <w:rPr>
          <w:rFonts w:cs="Aparajita"/>
          <w:sz w:val="24"/>
          <w:szCs w:val="24"/>
        </w:rPr>
        <w:t xml:space="preserve">  Disusunnya Perda tentang Fasilitasi Pencegahan Penyalahgunaan Narkotika, Psikotropika dan Zat Adikitif lainnya yaitu Perda No 9 Tahun 2018 yang ditetapkan pada tanggal 5 April 2019 sabagai tindak lanjut Permendagri No 21 tahun 2013. Perda ini disusun sebagai salah satu upaya untuk mencegah penyalahgunaan Napza di Sumbar dengan memaksimalkan peran dari pemerintah daerah baik dalam bentuk antisipasi dini, pencegahan, fasilitasi rehabilitasi, pengawasan dan pelaporan serta partisipasi masyarakat. </w:t>
      </w:r>
    </w:p>
    <w:p w:rsidR="007335FD" w:rsidRDefault="00815898" w:rsidP="00815898">
      <w:pPr>
        <w:pStyle w:val="ListParagraph"/>
        <w:numPr>
          <w:ilvl w:val="0"/>
          <w:numId w:val="46"/>
        </w:numPr>
        <w:tabs>
          <w:tab w:val="clear" w:pos="425"/>
        </w:tabs>
        <w:autoSpaceDE w:val="0"/>
        <w:autoSpaceDN w:val="0"/>
        <w:adjustRightInd w:val="0"/>
        <w:spacing w:after="0" w:line="360" w:lineRule="auto"/>
        <w:ind w:leftChars="200" w:left="877" w:hangingChars="182" w:hanging="437"/>
        <w:jc w:val="both"/>
        <w:rPr>
          <w:rFonts w:cs="Aparajita"/>
          <w:sz w:val="24"/>
          <w:szCs w:val="24"/>
        </w:rPr>
      </w:pPr>
      <w:r>
        <w:rPr>
          <w:rFonts w:cs="Aparajita"/>
          <w:sz w:val="24"/>
          <w:szCs w:val="24"/>
        </w:rPr>
        <w:t xml:space="preserve">  Terjalinnya koordinasi dengan aparat kepolisian, Satpol PP, penegak hukum dalam menangani masalah tindak kriminal yang terjadi di Sumbar.</w:t>
      </w:r>
    </w:p>
    <w:p w:rsidR="007335FD" w:rsidRDefault="007335FD" w:rsidP="00815898">
      <w:pPr>
        <w:pStyle w:val="ListParagraph"/>
        <w:autoSpaceDE w:val="0"/>
        <w:autoSpaceDN w:val="0"/>
        <w:adjustRightInd w:val="0"/>
        <w:spacing w:after="0" w:line="360" w:lineRule="auto"/>
        <w:ind w:leftChars="18" w:left="40"/>
        <w:jc w:val="both"/>
        <w:rPr>
          <w:rFonts w:cs="Aparajita"/>
          <w:sz w:val="24"/>
          <w:szCs w:val="24"/>
        </w:rPr>
      </w:pPr>
    </w:p>
    <w:p w:rsidR="007335FD" w:rsidRDefault="00815898">
      <w:pPr>
        <w:pStyle w:val="ListParagraph"/>
        <w:autoSpaceDE w:val="0"/>
        <w:autoSpaceDN w:val="0"/>
        <w:adjustRightInd w:val="0"/>
        <w:spacing w:after="0" w:line="360" w:lineRule="auto"/>
        <w:ind w:leftChars="200" w:left="440" w:firstLineChars="275" w:firstLine="660"/>
        <w:jc w:val="both"/>
        <w:rPr>
          <w:rFonts w:cs="Aparajita"/>
          <w:sz w:val="24"/>
          <w:szCs w:val="24"/>
        </w:rPr>
      </w:pPr>
      <w:r>
        <w:rPr>
          <w:rFonts w:cs="Aparajita"/>
          <w:sz w:val="24"/>
          <w:szCs w:val="24"/>
        </w:rPr>
        <w:t xml:space="preserve">Dalam meningkatkan capaian kinerja indikator persentase penurunan angka kriminalitas di Sumbar, terdapat beberapa kendala atau hambatan </w:t>
      </w:r>
      <w:proofErr w:type="gramStart"/>
      <w:r>
        <w:rPr>
          <w:rFonts w:cs="Aparajita"/>
          <w:sz w:val="24"/>
          <w:szCs w:val="24"/>
        </w:rPr>
        <w:t>diantaranya :</w:t>
      </w:r>
      <w:proofErr w:type="gramEnd"/>
    </w:p>
    <w:p w:rsidR="007335FD" w:rsidRDefault="00815898">
      <w:pPr>
        <w:pStyle w:val="ListParagraph"/>
        <w:numPr>
          <w:ilvl w:val="0"/>
          <w:numId w:val="47"/>
        </w:numPr>
        <w:spacing w:line="360" w:lineRule="auto"/>
        <w:ind w:left="880"/>
        <w:jc w:val="both"/>
        <w:rPr>
          <w:sz w:val="24"/>
          <w:szCs w:val="24"/>
        </w:rPr>
      </w:pPr>
      <w:r>
        <w:rPr>
          <w:sz w:val="24"/>
          <w:szCs w:val="24"/>
        </w:rPr>
        <w:t xml:space="preserve">   Minimnya alokasi anggaran untuk mensosialisasikan kepada seluruh lapisan masyarakat terkait bahaya perbuatan maksiat dan penyalahgunaan narkoba. Pada tahun 2018</w:t>
      </w:r>
      <w:proofErr w:type="gramStart"/>
      <w:r>
        <w:rPr>
          <w:sz w:val="24"/>
          <w:szCs w:val="24"/>
        </w:rPr>
        <w:t>,  sosialisasi</w:t>
      </w:r>
      <w:proofErr w:type="gramEnd"/>
      <w:r>
        <w:rPr>
          <w:sz w:val="24"/>
          <w:szCs w:val="24"/>
        </w:rPr>
        <w:t xml:space="preserve"> yang bisa dilaksanakan sebanyak 4 kali dengan sasaran pelajar dan generasi muda. </w:t>
      </w:r>
    </w:p>
    <w:p w:rsidR="007335FD" w:rsidRDefault="00815898">
      <w:pPr>
        <w:pStyle w:val="ListParagraph"/>
        <w:numPr>
          <w:ilvl w:val="0"/>
          <w:numId w:val="47"/>
        </w:numPr>
        <w:spacing w:line="360" w:lineRule="auto"/>
        <w:ind w:left="880"/>
        <w:jc w:val="both"/>
        <w:rPr>
          <w:sz w:val="24"/>
          <w:szCs w:val="24"/>
        </w:rPr>
      </w:pPr>
      <w:r>
        <w:rPr>
          <w:sz w:val="24"/>
          <w:szCs w:val="24"/>
        </w:rPr>
        <w:t xml:space="preserve">   Kurangnya pengawasan orang tua, mamak, guru, mubaligh, ulama dan para ulama terhadap tingkah laku anak yang ada di sekitar mereka,</w:t>
      </w:r>
    </w:p>
    <w:p w:rsidR="007335FD" w:rsidRDefault="00815898">
      <w:pPr>
        <w:pStyle w:val="ListParagraph"/>
        <w:numPr>
          <w:ilvl w:val="0"/>
          <w:numId w:val="47"/>
        </w:numPr>
        <w:spacing w:line="360" w:lineRule="auto"/>
        <w:ind w:left="880"/>
        <w:jc w:val="both"/>
        <w:rPr>
          <w:sz w:val="24"/>
          <w:szCs w:val="24"/>
        </w:rPr>
      </w:pPr>
      <w:r>
        <w:rPr>
          <w:sz w:val="24"/>
          <w:szCs w:val="24"/>
        </w:rPr>
        <w:t xml:space="preserve">   Regulasi yang ada saat ini terkait dengan pemberian sanksi bagi mayarakat yang melakukan tindak kriminalitas belum menimbulkan efek jera.</w:t>
      </w:r>
    </w:p>
    <w:p w:rsidR="007335FD" w:rsidRDefault="00815898">
      <w:pPr>
        <w:pStyle w:val="ListParagraph"/>
        <w:numPr>
          <w:ilvl w:val="0"/>
          <w:numId w:val="47"/>
        </w:numPr>
        <w:spacing w:line="360" w:lineRule="auto"/>
        <w:ind w:left="880"/>
        <w:jc w:val="both"/>
        <w:rPr>
          <w:sz w:val="24"/>
          <w:szCs w:val="24"/>
        </w:rPr>
      </w:pPr>
      <w:r>
        <w:rPr>
          <w:sz w:val="24"/>
          <w:szCs w:val="24"/>
        </w:rPr>
        <w:t xml:space="preserve">  </w:t>
      </w:r>
      <w:r>
        <w:rPr>
          <w:rFonts w:cs="Aparajita"/>
          <w:sz w:val="24"/>
          <w:szCs w:val="24"/>
        </w:rPr>
        <w:t>Adanya kemajuan teknologi yang membawa pengaruh negatif dari luar yang tidak sesuai dengan budaya lokal khususnya bagi generasi muda.</w:t>
      </w:r>
    </w:p>
    <w:p w:rsidR="007335FD" w:rsidRDefault="007335FD">
      <w:pPr>
        <w:pStyle w:val="ListParagraph"/>
        <w:autoSpaceDE w:val="0"/>
        <w:autoSpaceDN w:val="0"/>
        <w:adjustRightInd w:val="0"/>
        <w:spacing w:after="0" w:line="360" w:lineRule="auto"/>
        <w:ind w:leftChars="200" w:left="440" w:firstLineChars="275" w:firstLine="660"/>
        <w:jc w:val="both"/>
        <w:rPr>
          <w:rFonts w:cs="Aparajita"/>
          <w:sz w:val="24"/>
          <w:szCs w:val="24"/>
        </w:rPr>
      </w:pPr>
    </w:p>
    <w:p w:rsidR="007335FD" w:rsidRDefault="00815898">
      <w:pPr>
        <w:pStyle w:val="ListParagraph"/>
        <w:autoSpaceDE w:val="0"/>
        <w:autoSpaceDN w:val="0"/>
        <w:adjustRightInd w:val="0"/>
        <w:spacing w:after="0" w:line="360" w:lineRule="auto"/>
        <w:ind w:leftChars="200" w:left="440" w:firstLine="660"/>
        <w:jc w:val="both"/>
        <w:rPr>
          <w:rFonts w:cs="Aparajita"/>
          <w:sz w:val="24"/>
          <w:szCs w:val="24"/>
        </w:rPr>
      </w:pPr>
      <w:r>
        <w:rPr>
          <w:rFonts w:cs="Aparajita"/>
          <w:sz w:val="24"/>
          <w:szCs w:val="24"/>
        </w:rPr>
        <w:t xml:space="preserve">Untuk menghadpi hambatan di atas, ada beberapa solusi atau upaya yang dapat dilakukan oleh Badan Kesbangpol Prov Sumbar untuk pencapaian indikator kinerja persentase penurunan angka kriminalitas </w:t>
      </w:r>
      <w:proofErr w:type="gramStart"/>
      <w:r>
        <w:rPr>
          <w:rFonts w:cs="Aparajita"/>
          <w:sz w:val="24"/>
          <w:szCs w:val="24"/>
        </w:rPr>
        <w:t>diantaranya ;</w:t>
      </w:r>
      <w:proofErr w:type="gramEnd"/>
    </w:p>
    <w:p w:rsidR="007335FD" w:rsidRDefault="00815898">
      <w:pPr>
        <w:pStyle w:val="ListParagraph"/>
        <w:numPr>
          <w:ilvl w:val="0"/>
          <w:numId w:val="48"/>
        </w:numPr>
        <w:autoSpaceDE w:val="0"/>
        <w:autoSpaceDN w:val="0"/>
        <w:adjustRightInd w:val="0"/>
        <w:spacing w:after="0" w:line="360" w:lineRule="auto"/>
        <w:ind w:left="666" w:hanging="226"/>
        <w:jc w:val="both"/>
        <w:rPr>
          <w:rFonts w:cs="Aparajita"/>
          <w:sz w:val="24"/>
          <w:szCs w:val="24"/>
        </w:rPr>
      </w:pPr>
      <w:r>
        <w:rPr>
          <w:rFonts w:cs="Aparajita"/>
          <w:sz w:val="24"/>
          <w:szCs w:val="24"/>
        </w:rPr>
        <w:lastRenderedPageBreak/>
        <w:t xml:space="preserve">Meningkatkan intesitas pertemuan dan rapat-rapat koordinasi dengan Kepolisian, Satpol PP, </w:t>
      </w:r>
      <w:proofErr w:type="gramStart"/>
      <w:r>
        <w:rPr>
          <w:rFonts w:cs="Aparajita"/>
          <w:sz w:val="24"/>
          <w:szCs w:val="24"/>
        </w:rPr>
        <w:t>TNI  dan</w:t>
      </w:r>
      <w:proofErr w:type="gramEnd"/>
      <w:r>
        <w:rPr>
          <w:rFonts w:cs="Aparajita"/>
          <w:sz w:val="24"/>
          <w:szCs w:val="24"/>
        </w:rPr>
        <w:t xml:space="preserve"> instansi terkait lainnya dalam melakukan pencegahan terkait dengan penyebaran kasus maksiat, narkoba dan kasus kriminalitas lainnya.</w:t>
      </w:r>
    </w:p>
    <w:p w:rsidR="007335FD" w:rsidRDefault="00815898">
      <w:pPr>
        <w:pStyle w:val="ListParagraph"/>
        <w:numPr>
          <w:ilvl w:val="0"/>
          <w:numId w:val="48"/>
        </w:numPr>
        <w:autoSpaceDE w:val="0"/>
        <w:autoSpaceDN w:val="0"/>
        <w:adjustRightInd w:val="0"/>
        <w:spacing w:after="0" w:line="360" w:lineRule="auto"/>
        <w:ind w:left="666" w:hanging="226"/>
        <w:jc w:val="both"/>
        <w:rPr>
          <w:rFonts w:cs="Aparajita"/>
          <w:sz w:val="24"/>
          <w:szCs w:val="24"/>
        </w:rPr>
      </w:pPr>
      <w:r>
        <w:rPr>
          <w:rFonts w:cs="Aparajita"/>
          <w:sz w:val="24"/>
          <w:szCs w:val="24"/>
        </w:rPr>
        <w:t>Koordinasi dan konsolidasi antara Kesbangpol Provinsi dengan tokoh-tokoh masyarakat, (alim ulama, tokoh pemuda, tokoh adat) untuk melakukan pencegahan dan pemberantasan maksiat</w:t>
      </w:r>
    </w:p>
    <w:p w:rsidR="007335FD" w:rsidRDefault="00815898">
      <w:pPr>
        <w:pStyle w:val="ListParagraph"/>
        <w:numPr>
          <w:ilvl w:val="0"/>
          <w:numId w:val="48"/>
        </w:numPr>
        <w:autoSpaceDE w:val="0"/>
        <w:autoSpaceDN w:val="0"/>
        <w:adjustRightInd w:val="0"/>
        <w:spacing w:after="0" w:line="360" w:lineRule="auto"/>
        <w:ind w:left="666" w:hanging="226"/>
        <w:jc w:val="both"/>
        <w:rPr>
          <w:rFonts w:cs="Aparajita"/>
          <w:sz w:val="24"/>
          <w:szCs w:val="24"/>
        </w:rPr>
      </w:pPr>
      <w:r>
        <w:rPr>
          <w:rFonts w:cs="Aparajita"/>
          <w:sz w:val="24"/>
          <w:szCs w:val="24"/>
        </w:rPr>
        <w:t>Meningkatkan kegiatan sosialisasi dan pembinaan bagi masyarakat dalam rangka pemberantasan perbuatan maksiat dan pencegahan penyalahgunanan peredaran gelap narkoba</w:t>
      </w: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Jika dibandingkan dengan target akhir Renstra, kinerja baru tercapai 28</w:t>
      </w:r>
      <w:proofErr w:type="gramStart"/>
      <w:r>
        <w:rPr>
          <w:rFonts w:cs="Cambria"/>
          <w:sz w:val="24"/>
          <w:szCs w:val="24"/>
        </w:rPr>
        <w:t>,3</w:t>
      </w:r>
      <w:proofErr w:type="gramEnd"/>
      <w:r>
        <w:rPr>
          <w:rFonts w:cs="Cambria"/>
          <w:sz w:val="24"/>
          <w:szCs w:val="24"/>
        </w:rPr>
        <w:t xml:space="preserve"> %  sebagaimana dapat dilihat pada tabel di bawah ini :</w:t>
      </w:r>
    </w:p>
    <w:p w:rsidR="007335FD" w:rsidRDefault="00815898">
      <w:pPr>
        <w:pStyle w:val="NoSpacing"/>
        <w:jc w:val="center"/>
        <w:rPr>
          <w:rFonts w:hAnsi="Berlin Sans FB Demi"/>
          <w:b/>
          <w:bCs/>
          <w:sz w:val="24"/>
          <w:szCs w:val="24"/>
        </w:rPr>
      </w:pPr>
      <w:r>
        <w:rPr>
          <w:rFonts w:hAnsi="Berlin Sans FB Demi"/>
          <w:b/>
          <w:bCs/>
          <w:sz w:val="24"/>
          <w:szCs w:val="24"/>
        </w:rPr>
        <w:t>Tabel 3.19</w:t>
      </w:r>
    </w:p>
    <w:p w:rsidR="007335FD" w:rsidRDefault="00815898">
      <w:pPr>
        <w:pStyle w:val="NoSpacing"/>
        <w:jc w:val="center"/>
        <w:rPr>
          <w:rFonts w:hAnsi="Berlin Sans FB Demi"/>
          <w:b/>
          <w:bCs/>
          <w:sz w:val="24"/>
          <w:szCs w:val="24"/>
        </w:rPr>
      </w:pPr>
      <w:r>
        <w:rPr>
          <w:rFonts w:hAnsi="Berlin Sans FB Demi"/>
          <w:b/>
          <w:bCs/>
          <w:sz w:val="24"/>
          <w:szCs w:val="24"/>
        </w:rPr>
        <w:t>Perbandingan realisasi kinerja sampai dengan tahun 2021 dengan target jangka menengah yang terdapat dalam dokumen Renstra</w:t>
      </w:r>
    </w:p>
    <w:p w:rsidR="007335FD" w:rsidRDefault="007335FD">
      <w:pPr>
        <w:pStyle w:val="NoSpacing"/>
        <w:jc w:val="center"/>
        <w:rPr>
          <w:rFonts w:ascii="Berlin Sans FB Demi" w:hAnsi="Berlin Sans FB Demi"/>
          <w:sz w:val="24"/>
          <w:szCs w:val="24"/>
        </w:rPr>
      </w:pPr>
    </w:p>
    <w:tbl>
      <w:tblPr>
        <w:tblStyle w:val="TableGrid"/>
        <w:tblW w:w="9100" w:type="dxa"/>
        <w:tblInd w:w="442" w:type="dxa"/>
        <w:tblLayout w:type="fixed"/>
        <w:tblLook w:val="04A0" w:firstRow="1" w:lastRow="0" w:firstColumn="1" w:lastColumn="0" w:noHBand="0" w:noVBand="1"/>
      </w:tblPr>
      <w:tblGrid>
        <w:gridCol w:w="2512"/>
        <w:gridCol w:w="1025"/>
        <w:gridCol w:w="900"/>
        <w:gridCol w:w="1038"/>
        <w:gridCol w:w="762"/>
        <w:gridCol w:w="900"/>
        <w:gridCol w:w="1175"/>
        <w:gridCol w:w="788"/>
      </w:tblGrid>
      <w:tr w:rsidR="007335FD">
        <w:tc>
          <w:tcPr>
            <w:tcW w:w="2512"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INDIKATOR KINERJA</w:t>
            </w:r>
          </w:p>
        </w:tc>
        <w:tc>
          <w:tcPr>
            <w:tcW w:w="1025"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SATUAN</w:t>
            </w:r>
          </w:p>
        </w:tc>
        <w:tc>
          <w:tcPr>
            <w:tcW w:w="1938"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TAHUN 2018</w:t>
            </w:r>
          </w:p>
        </w:tc>
        <w:tc>
          <w:tcPr>
            <w:tcW w:w="762" w:type="dxa"/>
            <w:vMerge w:val="restart"/>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w:t>
            </w:r>
          </w:p>
        </w:tc>
        <w:tc>
          <w:tcPr>
            <w:tcW w:w="2075"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TAHUN 2021</w:t>
            </w:r>
          </w:p>
        </w:tc>
        <w:tc>
          <w:tcPr>
            <w:tcW w:w="788"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w:t>
            </w:r>
          </w:p>
        </w:tc>
      </w:tr>
      <w:tr w:rsidR="007335FD">
        <w:tc>
          <w:tcPr>
            <w:tcW w:w="2512" w:type="dxa"/>
            <w:vMerge/>
            <w:vAlign w:val="center"/>
          </w:tcPr>
          <w:p w:rsidR="007335FD" w:rsidRDefault="007335FD">
            <w:pPr>
              <w:autoSpaceDE w:val="0"/>
              <w:autoSpaceDN w:val="0"/>
              <w:adjustRightInd w:val="0"/>
              <w:spacing w:line="360" w:lineRule="auto"/>
              <w:jc w:val="center"/>
              <w:rPr>
                <w:rFonts w:cs="Cambria"/>
                <w:b/>
              </w:rPr>
            </w:pPr>
          </w:p>
        </w:tc>
        <w:tc>
          <w:tcPr>
            <w:tcW w:w="1025" w:type="dxa"/>
            <w:vMerge/>
            <w:vAlign w:val="center"/>
          </w:tcPr>
          <w:p w:rsidR="007335FD" w:rsidRDefault="007335FD">
            <w:pPr>
              <w:autoSpaceDE w:val="0"/>
              <w:autoSpaceDN w:val="0"/>
              <w:adjustRightInd w:val="0"/>
              <w:spacing w:line="360" w:lineRule="auto"/>
              <w:jc w:val="center"/>
              <w:rPr>
                <w:rFonts w:cs="Cambria"/>
                <w:b/>
              </w:rPr>
            </w:pPr>
          </w:p>
        </w:tc>
        <w:tc>
          <w:tcPr>
            <w:tcW w:w="900"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Target</w:t>
            </w:r>
          </w:p>
        </w:tc>
        <w:tc>
          <w:tcPr>
            <w:tcW w:w="1038"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Realisasi</w:t>
            </w:r>
          </w:p>
        </w:tc>
        <w:tc>
          <w:tcPr>
            <w:tcW w:w="762" w:type="dxa"/>
            <w:vMerge/>
            <w:shd w:val="clear" w:color="auto" w:fill="C00000"/>
            <w:vAlign w:val="center"/>
          </w:tcPr>
          <w:p w:rsidR="007335FD" w:rsidRDefault="007335FD">
            <w:pPr>
              <w:autoSpaceDE w:val="0"/>
              <w:autoSpaceDN w:val="0"/>
              <w:adjustRightInd w:val="0"/>
              <w:spacing w:line="360" w:lineRule="auto"/>
              <w:jc w:val="center"/>
              <w:rPr>
                <w:rFonts w:cs="Cambria"/>
                <w:b/>
              </w:rPr>
            </w:pPr>
          </w:p>
        </w:tc>
        <w:tc>
          <w:tcPr>
            <w:tcW w:w="900"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Target</w:t>
            </w:r>
          </w:p>
        </w:tc>
        <w:tc>
          <w:tcPr>
            <w:tcW w:w="1175"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Realisasi s.d 2018</w:t>
            </w:r>
          </w:p>
        </w:tc>
        <w:tc>
          <w:tcPr>
            <w:tcW w:w="788" w:type="dxa"/>
            <w:vMerge/>
            <w:vAlign w:val="center"/>
          </w:tcPr>
          <w:p w:rsidR="007335FD" w:rsidRDefault="007335FD">
            <w:pPr>
              <w:autoSpaceDE w:val="0"/>
              <w:autoSpaceDN w:val="0"/>
              <w:adjustRightInd w:val="0"/>
              <w:spacing w:line="360" w:lineRule="auto"/>
              <w:jc w:val="center"/>
              <w:rPr>
                <w:rFonts w:cs="Cambria"/>
                <w:b/>
                <w:sz w:val="20"/>
                <w:szCs w:val="20"/>
              </w:rPr>
            </w:pPr>
          </w:p>
        </w:tc>
      </w:tr>
      <w:tr w:rsidR="007335FD">
        <w:tc>
          <w:tcPr>
            <w:tcW w:w="2512" w:type="dxa"/>
          </w:tcPr>
          <w:p w:rsidR="007335FD" w:rsidRDefault="00815898">
            <w:pPr>
              <w:pStyle w:val="NoSpacing"/>
              <w:jc w:val="left"/>
              <w:rPr>
                <w:rFonts w:cs="Cambria"/>
              </w:rPr>
            </w:pPr>
            <w:r>
              <w:rPr>
                <w:color w:val="000000" w:themeColor="text1"/>
                <w:sz w:val="24"/>
                <w:szCs w:val="24"/>
              </w:rPr>
              <w:t>Persentase penurunan angka kriminalitas di Sumbar</w:t>
            </w:r>
          </w:p>
        </w:tc>
        <w:tc>
          <w:tcPr>
            <w:tcW w:w="1025"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w:t>
            </w:r>
          </w:p>
        </w:tc>
        <w:tc>
          <w:tcPr>
            <w:tcW w:w="900"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5</w:t>
            </w:r>
          </w:p>
        </w:tc>
        <w:tc>
          <w:tcPr>
            <w:tcW w:w="103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8,5</w:t>
            </w:r>
          </w:p>
        </w:tc>
        <w:tc>
          <w:tcPr>
            <w:tcW w:w="762"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170</w:t>
            </w:r>
          </w:p>
        </w:tc>
        <w:tc>
          <w:tcPr>
            <w:tcW w:w="900"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30</w:t>
            </w:r>
          </w:p>
        </w:tc>
        <w:tc>
          <w:tcPr>
            <w:tcW w:w="1175"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8,5</w:t>
            </w:r>
          </w:p>
        </w:tc>
        <w:tc>
          <w:tcPr>
            <w:tcW w:w="78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28,3%</w:t>
            </w:r>
          </w:p>
        </w:tc>
      </w:tr>
    </w:tbl>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 xml:space="preserve">Dalam mencapai sasaran meningkatnya keamanan, ketentraman dan ketertiban masyaraka, Badan Kesbangpol Provinsi Sumatera Barat melaksanakan beberapa program/ kegiatan yang menunjang keberhasilan pencapaian kinerja sasaran </w:t>
      </w:r>
      <w:proofErr w:type="gramStart"/>
      <w:r>
        <w:rPr>
          <w:rFonts w:cs="Cambria"/>
          <w:sz w:val="24"/>
          <w:szCs w:val="24"/>
        </w:rPr>
        <w:t>yaitu  :</w:t>
      </w:r>
      <w:proofErr w:type="gramEnd"/>
    </w:p>
    <w:p w:rsidR="007335FD" w:rsidRDefault="00815898">
      <w:pPr>
        <w:numPr>
          <w:ilvl w:val="0"/>
          <w:numId w:val="49"/>
        </w:numPr>
        <w:tabs>
          <w:tab w:val="clear" w:pos="425"/>
        </w:tabs>
        <w:autoSpaceDE w:val="0"/>
        <w:autoSpaceDN w:val="0"/>
        <w:adjustRightInd w:val="0"/>
        <w:spacing w:before="120" w:after="120" w:line="240" w:lineRule="auto"/>
        <w:ind w:leftChars="200" w:left="440" w:firstLine="0"/>
        <w:jc w:val="both"/>
        <w:rPr>
          <w:rFonts w:ascii="Calibri" w:eastAsia="Batang" w:cs="Aparajita"/>
          <w:b/>
          <w:bCs/>
          <w:sz w:val="24"/>
          <w:szCs w:val="24"/>
        </w:rPr>
      </w:pPr>
      <w:r>
        <w:rPr>
          <w:rFonts w:ascii="Calibri" w:eastAsia="Batang" w:cs="Aparajita"/>
          <w:b/>
          <w:bCs/>
          <w:sz w:val="24"/>
          <w:szCs w:val="24"/>
        </w:rPr>
        <w:t>Program Kemitraan Pengembangan Wawasan Kebangsaan</w:t>
      </w:r>
    </w:p>
    <w:p w:rsidR="007335FD" w:rsidRDefault="00815898">
      <w:pPr>
        <w:autoSpaceDE w:val="0"/>
        <w:autoSpaceDN w:val="0"/>
        <w:adjustRightInd w:val="0"/>
        <w:spacing w:before="120" w:after="120" w:line="240" w:lineRule="auto"/>
        <w:ind w:leftChars="307" w:left="675" w:firstLine="203"/>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 xml:space="preserve">Sosialisasi Pemantapan Ketahanan Bangsa </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Pembinaan Kerukunan Umat Beragama di Sumatera Barat</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Penguatan Wawasan Bela Begara</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Sosialisasi Pewarisan Nilai-Nilai Luhur Bangsa</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Penguatan Forum Pembauran Kebangsaan</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Pembinaan dan Koordinasi Pemantapan Idiologi dan Wawasan Kebangsaan</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Sosialisasi dan Penanganan Organisasi Aliran Kepercayaan Masyarakat</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t>Forum Pemantapan Wawasan Kebangsaan</w:t>
      </w:r>
    </w:p>
    <w:p w:rsidR="007335FD" w:rsidRDefault="00815898">
      <w:pPr>
        <w:numPr>
          <w:ilvl w:val="0"/>
          <w:numId w:val="50"/>
        </w:numPr>
        <w:tabs>
          <w:tab w:val="clear" w:pos="425"/>
        </w:tabs>
        <w:autoSpaceDE w:val="0"/>
        <w:autoSpaceDN w:val="0"/>
        <w:adjustRightInd w:val="0"/>
        <w:spacing w:before="120" w:after="120" w:line="240" w:lineRule="auto"/>
        <w:ind w:left="960" w:firstLine="0"/>
        <w:jc w:val="both"/>
        <w:rPr>
          <w:rFonts w:ascii="Calibri" w:eastAsia="Batang" w:cs="Aparajita"/>
          <w:sz w:val="24"/>
          <w:szCs w:val="24"/>
        </w:rPr>
      </w:pPr>
      <w:r>
        <w:rPr>
          <w:rFonts w:ascii="Calibri" w:eastAsia="Batang" w:cs="Aparajita"/>
          <w:sz w:val="24"/>
          <w:szCs w:val="24"/>
        </w:rPr>
        <w:lastRenderedPageBreak/>
        <w:t>Pembangunan Karakter Bangsa dalam Upaya Mendukung Revolusi Mental</w:t>
      </w:r>
    </w:p>
    <w:p w:rsidR="007335FD" w:rsidRDefault="00815898">
      <w:pPr>
        <w:numPr>
          <w:ilvl w:val="0"/>
          <w:numId w:val="49"/>
        </w:numPr>
        <w:autoSpaceDE w:val="0"/>
        <w:autoSpaceDN w:val="0"/>
        <w:adjustRightInd w:val="0"/>
        <w:spacing w:before="120" w:after="120" w:line="240" w:lineRule="auto"/>
        <w:ind w:leftChars="200" w:left="440" w:firstLine="0"/>
        <w:jc w:val="both"/>
        <w:rPr>
          <w:rFonts w:ascii="Calibri" w:eastAsia="Batang" w:cs="Aparajita"/>
          <w:b/>
          <w:bCs/>
          <w:sz w:val="24"/>
          <w:szCs w:val="24"/>
        </w:rPr>
      </w:pPr>
      <w:r>
        <w:rPr>
          <w:rFonts w:ascii="Calibri" w:eastAsia="Batang" w:cs="Aparajita"/>
          <w:b/>
          <w:bCs/>
          <w:sz w:val="24"/>
          <w:szCs w:val="24"/>
        </w:rPr>
        <w:t>Program Peningkatan Keamanan dan Kenyamanan Lingkungan</w:t>
      </w:r>
    </w:p>
    <w:p w:rsidR="007335FD" w:rsidRDefault="00815898">
      <w:pPr>
        <w:autoSpaceDE w:val="0"/>
        <w:autoSpaceDN w:val="0"/>
        <w:adjustRightInd w:val="0"/>
        <w:spacing w:before="120" w:after="120" w:line="240" w:lineRule="auto"/>
        <w:ind w:leftChars="398" w:left="876" w:firstLine="3"/>
        <w:jc w:val="both"/>
        <w:rPr>
          <w:rFonts w:ascii="Calibri" w:eastAsia="Batang" w:cs="Aparajita"/>
          <w:sz w:val="24"/>
          <w:szCs w:val="24"/>
        </w:rPr>
      </w:pPr>
      <w:proofErr w:type="gramStart"/>
      <w:r>
        <w:rPr>
          <w:rFonts w:ascii="Calibri" w:eastAsia="Batang" w:cs="Aparajita"/>
          <w:sz w:val="24"/>
          <w:szCs w:val="24"/>
        </w:rPr>
        <w:t>Kegiatan :</w:t>
      </w:r>
      <w:proofErr w:type="gramEnd"/>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 xml:space="preserve">Penanganan Masalah Strategis Daerah </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Pengawasan Orang Asing</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Pengawasan dan Pencegahan Konflik Sosial</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Pengawasan dan Peningkatan Kewaspadaan Dini Masyarakat</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Rapat Koordinasi Ketahanan Ekonomi dan Budaya</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Penguatan Tim Terpadu Penanganan Konflik Sosial</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Pengawasan dan Pencegahan Terorisme</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Koordinasi dan Pemantauan Pelaksanaan Pemilihan Umum</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Pergantian Antar Waktu Anggot DPRD kabupaten/kota di Sumbar</w:t>
      </w:r>
    </w:p>
    <w:p w:rsidR="007335FD" w:rsidRDefault="00815898">
      <w:pPr>
        <w:numPr>
          <w:ilvl w:val="0"/>
          <w:numId w:val="51"/>
        </w:numPr>
        <w:tabs>
          <w:tab w:val="clear" w:pos="425"/>
        </w:tabs>
        <w:autoSpaceDE w:val="0"/>
        <w:autoSpaceDN w:val="0"/>
        <w:adjustRightInd w:val="0"/>
        <w:spacing w:before="120" w:after="120" w:line="240" w:lineRule="auto"/>
        <w:ind w:left="0" w:firstLine="960"/>
        <w:jc w:val="both"/>
        <w:rPr>
          <w:rFonts w:ascii="Calibri" w:eastAsia="Batang" w:cs="Aparajita"/>
          <w:sz w:val="24"/>
          <w:szCs w:val="24"/>
        </w:rPr>
      </w:pPr>
      <w:r>
        <w:rPr>
          <w:rFonts w:ascii="Calibri" w:eastAsia="Batang" w:cs="Aparajita"/>
          <w:sz w:val="24"/>
          <w:szCs w:val="24"/>
        </w:rPr>
        <w:t>Pengendalian Ketahanan Ekonomi dan Budaya</w:t>
      </w:r>
    </w:p>
    <w:p w:rsidR="007335FD" w:rsidRDefault="007335FD">
      <w:pPr>
        <w:pStyle w:val="NoSpacing"/>
        <w:jc w:val="center"/>
        <w:rPr>
          <w:rFonts w:ascii="Berlin Sans FB Demi" w:hAnsi="Berlin Sans FB Demi" w:cs="Cambria,Bold"/>
          <w:b/>
          <w:bCs/>
          <w:sz w:val="24"/>
          <w:szCs w:val="24"/>
        </w:rPr>
      </w:pPr>
    </w:p>
    <w:p w:rsidR="007335FD" w:rsidRDefault="00815898">
      <w:pPr>
        <w:autoSpaceDE w:val="0"/>
        <w:autoSpaceDN w:val="0"/>
        <w:adjustRightInd w:val="0"/>
        <w:spacing w:after="0" w:line="240" w:lineRule="auto"/>
        <w:ind w:left="438" w:firstLine="2"/>
        <w:jc w:val="both"/>
        <w:rPr>
          <w:rFonts w:ascii="Segoe UI Black" w:hAnsi="Segoe UI Black" w:cs="Segoe UI Black"/>
          <w:b/>
          <w:sz w:val="24"/>
          <w:szCs w:val="24"/>
          <w:lang w:val="sv-SE"/>
        </w:rPr>
      </w:pPr>
      <w:r>
        <w:rPr>
          <w:rFonts w:ascii="Segoe UI Black" w:hAnsi="Segoe UI Black" w:cs="Segoe UI Black"/>
          <w:b/>
          <w:sz w:val="24"/>
          <w:szCs w:val="24"/>
          <w:lang w:val="sv-SE"/>
        </w:rPr>
        <w:t>MISI III MENINGKATKAN STABILITAS POLITIK DI SUMATERA BARAT</w:t>
      </w:r>
    </w:p>
    <w:p w:rsidR="007335FD" w:rsidRDefault="007335FD">
      <w:pPr>
        <w:autoSpaceDE w:val="0"/>
        <w:autoSpaceDN w:val="0"/>
        <w:adjustRightInd w:val="0"/>
        <w:spacing w:after="0" w:line="240" w:lineRule="auto"/>
        <w:ind w:leftChars="200" w:left="452" w:hangingChars="5" w:hanging="12"/>
        <w:jc w:val="both"/>
        <w:rPr>
          <w:rFonts w:ascii="Segoe UI Black" w:hAnsi="Segoe UI Black" w:cs="Segoe UI Black"/>
          <w:b/>
          <w:sz w:val="24"/>
          <w:szCs w:val="24"/>
        </w:rPr>
      </w:pPr>
    </w:p>
    <w:p w:rsidR="007335FD" w:rsidRDefault="00815898">
      <w:pPr>
        <w:autoSpaceDE w:val="0"/>
        <w:autoSpaceDN w:val="0"/>
        <w:adjustRightInd w:val="0"/>
        <w:spacing w:after="0" w:line="360" w:lineRule="auto"/>
        <w:ind w:leftChars="205" w:left="451" w:firstLineChars="270" w:firstLine="648"/>
        <w:jc w:val="both"/>
        <w:rPr>
          <w:rFonts w:cs="Arial"/>
          <w:sz w:val="24"/>
          <w:szCs w:val="24"/>
        </w:rPr>
      </w:pPr>
      <w:proofErr w:type="gramStart"/>
      <w:r>
        <w:rPr>
          <w:rFonts w:cs="Aparajita"/>
          <w:sz w:val="24"/>
          <w:szCs w:val="24"/>
        </w:rPr>
        <w:t>MIsi III Badan Kesbangpol juga merupakan salah satu misi yang mendukung misi I RPJMD Provinsi Sumatera Barat Tahun 2016-2021.</w:t>
      </w:r>
      <w:proofErr w:type="gramEnd"/>
      <w:r>
        <w:rPr>
          <w:rFonts w:cs="Aparajita"/>
          <w:sz w:val="24"/>
          <w:szCs w:val="24"/>
        </w:rPr>
        <w:t xml:space="preserve"> Untuk mewujudkan misi tersebut di atas, ditetapkan tujuan dan sasaran strategis yang akan dicapai dari pelaksanaan program dan kegiatan </w:t>
      </w:r>
      <w:proofErr w:type="gramStart"/>
      <w:r>
        <w:rPr>
          <w:rFonts w:cs="Aparajita"/>
          <w:sz w:val="24"/>
          <w:szCs w:val="24"/>
        </w:rPr>
        <w:t>yaitu :</w:t>
      </w:r>
      <w:proofErr w:type="gramEnd"/>
      <w:r>
        <w:rPr>
          <w:rFonts w:cs="Arial"/>
          <w:sz w:val="24"/>
          <w:szCs w:val="24"/>
        </w:rPr>
        <w:t xml:space="preserve"> </w:t>
      </w:r>
    </w:p>
    <w:tbl>
      <w:tblPr>
        <w:tblStyle w:val="TableGrid"/>
        <w:tblpPr w:leftFromText="180" w:rightFromText="180" w:vertAnchor="text" w:horzAnchor="page" w:tblpX="1988" w:tblpY="455"/>
        <w:tblOverlap w:val="never"/>
        <w:tblW w:w="8882" w:type="dxa"/>
        <w:tblLayout w:type="fixed"/>
        <w:tblLook w:val="04A0" w:firstRow="1" w:lastRow="0" w:firstColumn="1" w:lastColumn="0" w:noHBand="0" w:noVBand="1"/>
      </w:tblPr>
      <w:tblGrid>
        <w:gridCol w:w="540"/>
        <w:gridCol w:w="3996"/>
        <w:gridCol w:w="4346"/>
      </w:tblGrid>
      <w:tr w:rsidR="007335FD">
        <w:tc>
          <w:tcPr>
            <w:tcW w:w="540"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No</w:t>
            </w:r>
          </w:p>
        </w:tc>
        <w:tc>
          <w:tcPr>
            <w:tcW w:w="3996"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Tujuan</w:t>
            </w:r>
          </w:p>
        </w:tc>
        <w:tc>
          <w:tcPr>
            <w:tcW w:w="4346" w:type="dxa"/>
            <w:tcBorders>
              <w:bottom w:val="single" w:sz="4" w:space="0" w:color="auto"/>
            </w:tcBorders>
            <w:shd w:val="clear" w:color="auto" w:fill="C00000"/>
          </w:tcPr>
          <w:p w:rsidR="007335FD" w:rsidRDefault="00815898">
            <w:pPr>
              <w:autoSpaceDE w:val="0"/>
              <w:autoSpaceDN w:val="0"/>
              <w:adjustRightInd w:val="0"/>
              <w:spacing w:line="360" w:lineRule="auto"/>
              <w:jc w:val="center"/>
              <w:rPr>
                <w:rFonts w:cs="Aparajita"/>
                <w:b/>
                <w:sz w:val="24"/>
                <w:szCs w:val="24"/>
              </w:rPr>
            </w:pPr>
            <w:r>
              <w:rPr>
                <w:rFonts w:cs="Aparajita"/>
                <w:b/>
                <w:sz w:val="24"/>
                <w:szCs w:val="24"/>
              </w:rPr>
              <w:t>Sasaran Strategis</w:t>
            </w:r>
          </w:p>
        </w:tc>
      </w:tr>
      <w:tr w:rsidR="007335FD">
        <w:tc>
          <w:tcPr>
            <w:tcW w:w="540" w:type="dxa"/>
            <w:shd w:val="clear" w:color="auto" w:fill="auto"/>
          </w:tcPr>
          <w:p w:rsidR="007335FD" w:rsidRDefault="00815898">
            <w:pPr>
              <w:autoSpaceDE w:val="0"/>
              <w:autoSpaceDN w:val="0"/>
              <w:adjustRightInd w:val="0"/>
              <w:spacing w:line="360" w:lineRule="auto"/>
              <w:jc w:val="center"/>
              <w:rPr>
                <w:rFonts w:cs="Aparajita"/>
                <w:sz w:val="24"/>
                <w:szCs w:val="24"/>
              </w:rPr>
            </w:pPr>
            <w:r>
              <w:rPr>
                <w:rFonts w:cs="Aparajita"/>
                <w:sz w:val="24"/>
                <w:szCs w:val="24"/>
              </w:rPr>
              <w:t>1</w:t>
            </w:r>
          </w:p>
        </w:tc>
        <w:tc>
          <w:tcPr>
            <w:tcW w:w="3996"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Terwujudnya situasi dan kondisi politik yang demokratis</w:t>
            </w:r>
          </w:p>
          <w:p w:rsidR="007335FD" w:rsidRDefault="007335FD">
            <w:pPr>
              <w:pStyle w:val="NoSpacing"/>
              <w:rPr>
                <w:rFonts w:cs="Arial"/>
                <w:sz w:val="24"/>
                <w:szCs w:val="24"/>
              </w:rPr>
            </w:pPr>
          </w:p>
        </w:tc>
        <w:tc>
          <w:tcPr>
            <w:tcW w:w="4346" w:type="dxa"/>
            <w:shd w:val="clear" w:color="auto" w:fill="auto"/>
          </w:tcPr>
          <w:p w:rsidR="007335FD" w:rsidRDefault="00815898">
            <w:pPr>
              <w:pStyle w:val="NoSpacing"/>
              <w:jc w:val="left"/>
              <w:rPr>
                <w:color w:val="000000" w:themeColor="text1"/>
                <w:sz w:val="24"/>
                <w:szCs w:val="24"/>
              </w:rPr>
            </w:pPr>
            <w:r>
              <w:rPr>
                <w:color w:val="000000" w:themeColor="text1"/>
                <w:sz w:val="24"/>
                <w:szCs w:val="24"/>
              </w:rPr>
              <w:t>Meningkatnya kualitas demokrasi di Sumatera Barat</w:t>
            </w:r>
          </w:p>
          <w:p w:rsidR="007335FD" w:rsidRDefault="007335FD">
            <w:pPr>
              <w:pStyle w:val="NoSpacing"/>
              <w:rPr>
                <w:rFonts w:cs="Aparajita"/>
                <w:sz w:val="24"/>
                <w:szCs w:val="24"/>
              </w:rPr>
            </w:pPr>
          </w:p>
        </w:tc>
      </w:tr>
    </w:tbl>
    <w:p w:rsidR="007335FD" w:rsidRDefault="007335FD">
      <w:pPr>
        <w:pStyle w:val="NoSpacing"/>
        <w:jc w:val="center"/>
        <w:rPr>
          <w:rFonts w:ascii="Bernard MT Condensed" w:hAnsi="Bernard MT Condensed"/>
          <w:sz w:val="40"/>
          <w:szCs w:val="40"/>
          <w:u w:val="single"/>
        </w:rPr>
      </w:pPr>
    </w:p>
    <w:p w:rsidR="007335FD" w:rsidRDefault="007335FD">
      <w:pPr>
        <w:pStyle w:val="NoSpacing"/>
        <w:jc w:val="center"/>
        <w:rPr>
          <w:rFonts w:ascii="Bernard MT Condensed" w:hAnsi="Bernard MT Condensed"/>
          <w:sz w:val="40"/>
          <w:szCs w:val="40"/>
          <w:u w:val="single"/>
        </w:rPr>
      </w:pPr>
    </w:p>
    <w:p w:rsidR="007335FD" w:rsidRDefault="007335FD">
      <w:pPr>
        <w:pStyle w:val="NoSpacing"/>
        <w:jc w:val="center"/>
        <w:rPr>
          <w:rFonts w:ascii="Bernard MT Condensed" w:hAnsi="Bernard MT Condensed"/>
          <w:sz w:val="40"/>
          <w:szCs w:val="40"/>
          <w:u w:val="single"/>
        </w:rPr>
      </w:pPr>
    </w:p>
    <w:p w:rsidR="007335FD" w:rsidRDefault="00815898">
      <w:pPr>
        <w:pStyle w:val="NoSpacing"/>
        <w:jc w:val="center"/>
        <w:rPr>
          <w:rFonts w:ascii="Segoe UI Black" w:hAnsi="Segoe UI Black" w:cs="Segoe UI Black"/>
          <w:b/>
          <w:bCs/>
          <w:sz w:val="40"/>
          <w:szCs w:val="40"/>
          <w:u w:val="single"/>
        </w:rPr>
      </w:pPr>
      <w:r>
        <w:rPr>
          <w:rFonts w:ascii="Segoe UI Black" w:hAnsi="Segoe UI Black" w:cs="Segoe UI Black"/>
          <w:b/>
          <w:bCs/>
          <w:sz w:val="40"/>
          <w:szCs w:val="40"/>
          <w:u w:val="single"/>
        </w:rPr>
        <w:t>SASARAN STRATEGIS III</w:t>
      </w:r>
    </w:p>
    <w:p w:rsidR="007335FD" w:rsidRDefault="007335FD">
      <w:pPr>
        <w:pStyle w:val="NoSpacing"/>
        <w:jc w:val="center"/>
        <w:rPr>
          <w:rFonts w:ascii="Segoe UI Black" w:hAnsi="Segoe UI Black" w:cs="Segoe UI Black"/>
          <w:b/>
          <w:bCs/>
          <w:sz w:val="40"/>
          <w:szCs w:val="40"/>
          <w:u w:val="single"/>
        </w:rPr>
      </w:pPr>
    </w:p>
    <w:p w:rsidR="007335FD" w:rsidRDefault="00815898">
      <w:pPr>
        <w:pStyle w:val="NoSpacing"/>
        <w:jc w:val="center"/>
        <w:rPr>
          <w:rFonts w:ascii="Segoe UI Black" w:eastAsia="Times New Roman" w:hAnsi="Segoe UI Black" w:cs="Segoe UI Black"/>
          <w:b/>
          <w:bCs/>
          <w:snapToGrid w:val="0"/>
          <w:color w:val="000000"/>
          <w:w w:val="0"/>
          <w:sz w:val="0"/>
          <w:szCs w:val="0"/>
          <w:u w:color="000000"/>
          <w:shd w:val="clear" w:color="000000" w:fill="000000"/>
        </w:rPr>
      </w:pPr>
      <w:r>
        <w:rPr>
          <w:rFonts w:ascii="Segoe UI Black" w:eastAsia="Times New Roman" w:hAnsi="Segoe UI Black" w:cs="Segoe UI Black"/>
          <w:b/>
          <w:bCs/>
          <w:snapToGrid w:val="0"/>
          <w:color w:val="000000"/>
          <w:w w:val="0"/>
          <w:sz w:val="0"/>
          <w:szCs w:val="0"/>
          <w:u w:color="000000"/>
          <w:shd w:val="clear" w:color="000000" w:fill="000000"/>
        </w:rPr>
        <w:t xml:space="preserve"> </w:t>
      </w:r>
    </w:p>
    <w:p w:rsidR="007335FD" w:rsidRDefault="007335FD">
      <w:pPr>
        <w:pStyle w:val="NoSpacing"/>
        <w:jc w:val="center"/>
        <w:rPr>
          <w:rFonts w:ascii="Segoe UI Black" w:eastAsia="Times New Roman" w:hAnsi="Segoe UI Black" w:cs="Segoe UI Black"/>
          <w:b/>
          <w:bCs/>
          <w:snapToGrid w:val="0"/>
          <w:color w:val="000000"/>
          <w:w w:val="0"/>
          <w:sz w:val="0"/>
          <w:szCs w:val="0"/>
          <w:u w:color="000000"/>
          <w:shd w:val="clear" w:color="000000" w:fill="000000"/>
        </w:rPr>
      </w:pPr>
    </w:p>
    <w:p w:rsidR="007335FD" w:rsidRDefault="007335FD">
      <w:pPr>
        <w:pStyle w:val="NoSpacing"/>
        <w:jc w:val="center"/>
        <w:rPr>
          <w:rFonts w:ascii="Times New Roman" w:eastAsia="Times New Roman" w:hAnsi="Times New Roman" w:cs="Times New Roman"/>
          <w:snapToGrid w:val="0"/>
          <w:color w:val="000000"/>
          <w:w w:val="0"/>
          <w:sz w:val="0"/>
          <w:szCs w:val="0"/>
          <w:u w:color="000000"/>
          <w:shd w:val="clear" w:color="000000" w:fill="000000"/>
        </w:rPr>
      </w:pPr>
    </w:p>
    <w:p w:rsidR="007335FD" w:rsidRDefault="007335FD">
      <w:pPr>
        <w:pStyle w:val="NoSpacing"/>
        <w:jc w:val="center"/>
        <w:rPr>
          <w:rFonts w:ascii="Times New Roman" w:eastAsia="Times New Roman" w:hAnsi="Times New Roman" w:cs="Times New Roman"/>
          <w:snapToGrid w:val="0"/>
          <w:color w:val="000000"/>
          <w:w w:val="0"/>
          <w:sz w:val="0"/>
          <w:szCs w:val="0"/>
          <w:u w:color="000000"/>
          <w:shd w:val="clear" w:color="000000" w:fill="000000"/>
        </w:rPr>
      </w:pPr>
    </w:p>
    <w:p w:rsidR="007335FD" w:rsidRDefault="007335FD">
      <w:pPr>
        <w:pStyle w:val="NoSpacing"/>
        <w:jc w:val="center"/>
        <w:rPr>
          <w:rFonts w:ascii="Times New Roman" w:eastAsia="Times New Roman" w:hAnsi="Times New Roman" w:cs="Times New Roman"/>
          <w:snapToGrid w:val="0"/>
          <w:color w:val="000000"/>
          <w:w w:val="0"/>
          <w:sz w:val="0"/>
          <w:szCs w:val="0"/>
          <w:u w:color="000000"/>
          <w:shd w:val="clear" w:color="000000" w:fill="000000"/>
        </w:rPr>
      </w:pPr>
    </w:p>
    <w:p w:rsidR="007335FD" w:rsidRDefault="007335FD">
      <w:pPr>
        <w:pStyle w:val="NoSpacing"/>
        <w:jc w:val="center"/>
        <w:rPr>
          <w:rFonts w:ascii="Times New Roman" w:eastAsia="Times New Roman" w:hAnsi="Times New Roman" w:cs="Times New Roman"/>
          <w:snapToGrid w:val="0"/>
          <w:color w:val="000000"/>
          <w:w w:val="0"/>
          <w:sz w:val="0"/>
          <w:szCs w:val="0"/>
          <w:u w:color="000000"/>
          <w:shd w:val="clear" w:color="000000" w:fill="000000"/>
        </w:rPr>
      </w:pPr>
    </w:p>
    <w:p w:rsidR="007335FD" w:rsidRDefault="007335FD">
      <w:pPr>
        <w:pStyle w:val="NoSpacing"/>
        <w:jc w:val="center"/>
        <w:rPr>
          <w:rFonts w:ascii="Times New Roman" w:eastAsia="Times New Roman" w:hAnsi="Times New Roman" w:cs="Times New Roman"/>
          <w:snapToGrid w:val="0"/>
          <w:color w:val="000000"/>
          <w:w w:val="0"/>
          <w:sz w:val="0"/>
          <w:szCs w:val="0"/>
          <w:u w:color="000000"/>
          <w:shd w:val="clear" w:color="000000" w:fill="000000"/>
        </w:rPr>
      </w:pPr>
    </w:p>
    <w:p w:rsidR="007335FD" w:rsidRDefault="007335FD">
      <w:pPr>
        <w:pStyle w:val="NoSpacing"/>
        <w:jc w:val="center"/>
        <w:rPr>
          <w:rFonts w:ascii="Times New Roman" w:eastAsia="Times New Roman" w:hAnsi="Times New Roman" w:cs="Times New Roman"/>
          <w:snapToGrid w:val="0"/>
          <w:color w:val="000000"/>
          <w:w w:val="0"/>
          <w:sz w:val="0"/>
          <w:szCs w:val="0"/>
          <w:u w:color="000000"/>
          <w:shd w:val="clear" w:color="000000" w:fill="000000"/>
        </w:rPr>
      </w:pPr>
    </w:p>
    <w:tbl>
      <w:tblPr>
        <w:tblStyle w:val="TableGrid"/>
        <w:tblW w:w="8925" w:type="dxa"/>
        <w:tblInd w:w="47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419"/>
        <w:gridCol w:w="6506"/>
      </w:tblGrid>
      <w:tr w:rsidR="007335FD">
        <w:trPr>
          <w:trHeight w:val="2595"/>
        </w:trPr>
        <w:tc>
          <w:tcPr>
            <w:tcW w:w="2419" w:type="dxa"/>
          </w:tcPr>
          <w:p w:rsidR="007335FD" w:rsidRDefault="00815898">
            <w:pPr>
              <w:autoSpaceDE w:val="0"/>
              <w:autoSpaceDN w:val="0"/>
              <w:adjustRightInd w:val="0"/>
              <w:spacing w:line="360" w:lineRule="auto"/>
              <w:ind w:leftChars="100" w:left="220"/>
              <w:rPr>
                <w:rFonts w:ascii="Aparajita" w:hAnsi="Aparajita" w:cs="Aparajita"/>
                <w:sz w:val="24"/>
                <w:szCs w:val="24"/>
              </w:rPr>
            </w:pPr>
            <w:r>
              <w:rPr>
                <w:rFonts w:ascii="Aparajita" w:hAnsi="Aparajita" w:cs="Aparajita"/>
                <w:noProof/>
                <w:sz w:val="24"/>
                <w:szCs w:val="24"/>
              </w:rPr>
              <w:lastRenderedPageBreak/>
              <w:drawing>
                <wp:anchor distT="0" distB="0" distL="114300" distR="114300" simplePos="0" relativeHeight="251721728" behindDoc="1" locked="0" layoutInCell="1" allowOverlap="1">
                  <wp:simplePos x="0" y="0"/>
                  <wp:positionH relativeFrom="column">
                    <wp:posOffset>736600</wp:posOffset>
                  </wp:positionH>
                  <wp:positionV relativeFrom="paragraph">
                    <wp:posOffset>843280</wp:posOffset>
                  </wp:positionV>
                  <wp:extent cx="744220" cy="992505"/>
                  <wp:effectExtent l="0" t="0" r="5080" b="10795"/>
                  <wp:wrapNone/>
                  <wp:docPr id="24" name="Picture 13" descr="D:\DATA RIRIN\PROGRAM\LAKIP\LAKIP 2015\Gambar\images Pil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descr="D:\DATA RIRIN\PROGRAM\LAKIP\LAKIP 2015\Gambar\images Pilkada.jpg"/>
                          <pic:cNvPicPr>
                            <a:picLocks noChangeAspect="1" noChangeArrowheads="1"/>
                          </pic:cNvPicPr>
                        </pic:nvPicPr>
                        <pic:blipFill>
                          <a:blip r:embed="rId47" cstate="print"/>
                          <a:srcRect/>
                          <a:stretch>
                            <a:fillRect/>
                          </a:stretch>
                        </pic:blipFill>
                        <pic:spPr>
                          <a:xfrm>
                            <a:off x="0" y="0"/>
                            <a:ext cx="744220" cy="992221"/>
                          </a:xfrm>
                          <a:prstGeom prst="rect">
                            <a:avLst/>
                          </a:prstGeom>
                          <a:noFill/>
                          <a:ln w="9525">
                            <a:noFill/>
                            <a:miter lim="800000"/>
                            <a:headEnd/>
                            <a:tailEnd/>
                          </a:ln>
                        </pic:spPr>
                      </pic:pic>
                    </a:graphicData>
                  </a:graphic>
                </wp:anchor>
              </w:drawing>
            </w:r>
            <w:r>
              <w:rPr>
                <w:rFonts w:cs="Aparajita"/>
                <w:b/>
                <w:noProof/>
                <w:sz w:val="24"/>
                <w:szCs w:val="24"/>
              </w:rPr>
              <w:drawing>
                <wp:anchor distT="0" distB="0" distL="114300" distR="114300" simplePos="0" relativeHeight="251725824" behindDoc="1" locked="0" layoutInCell="1" allowOverlap="1">
                  <wp:simplePos x="0" y="0"/>
                  <wp:positionH relativeFrom="column">
                    <wp:posOffset>-69850</wp:posOffset>
                  </wp:positionH>
                  <wp:positionV relativeFrom="paragraph">
                    <wp:posOffset>854075</wp:posOffset>
                  </wp:positionV>
                  <wp:extent cx="823595" cy="949325"/>
                  <wp:effectExtent l="0" t="0" r="1905" b="3175"/>
                  <wp:wrapNone/>
                  <wp:docPr id="22" name="Picture 22" descr="D:\FILE 2017\PROGRAM\LAKIP\LAKIP 2017\Gambar\PIL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FILE 2017\PROGRAM\LAKIP\LAKIP 2017\Gambar\PILKADA.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823595" cy="949325"/>
                          </a:xfrm>
                          <a:prstGeom prst="rect">
                            <a:avLst/>
                          </a:prstGeom>
                          <a:noFill/>
                          <a:ln>
                            <a:noFill/>
                          </a:ln>
                        </pic:spPr>
                      </pic:pic>
                    </a:graphicData>
                  </a:graphic>
                </wp:anchor>
              </w:drawing>
            </w:r>
            <w:r>
              <w:rPr>
                <w:rFonts w:cs="Aparajita"/>
                <w:b/>
                <w:noProof/>
                <w:sz w:val="24"/>
                <w:szCs w:val="24"/>
              </w:rPr>
              <w:drawing>
                <wp:anchor distT="0" distB="0" distL="114300" distR="114300" simplePos="0" relativeHeight="251726848" behindDoc="1" locked="0" layoutInCell="1" allowOverlap="1">
                  <wp:simplePos x="0" y="0"/>
                  <wp:positionH relativeFrom="column">
                    <wp:posOffset>-50165</wp:posOffset>
                  </wp:positionH>
                  <wp:positionV relativeFrom="paragraph">
                    <wp:posOffset>-17780</wp:posOffset>
                  </wp:positionV>
                  <wp:extent cx="1508125" cy="885190"/>
                  <wp:effectExtent l="0" t="0" r="3175" b="3810"/>
                  <wp:wrapNone/>
                  <wp:docPr id="29" name="Picture 29" descr="D:\FILE 2017\PROGRAM\LAKIP\LAKIP 2017\Gambar\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FILE 2017\PROGRAM\LAKIP\LAKIP 2017\Gambar\IDI.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508125" cy="885174"/>
                          </a:xfrm>
                          <a:prstGeom prst="rect">
                            <a:avLst/>
                          </a:prstGeom>
                          <a:noFill/>
                          <a:ln>
                            <a:noFill/>
                          </a:ln>
                        </pic:spPr>
                      </pic:pic>
                    </a:graphicData>
                  </a:graphic>
                </wp:anchor>
              </w:drawing>
            </w:r>
          </w:p>
        </w:tc>
        <w:tc>
          <w:tcPr>
            <w:tcW w:w="6506" w:type="dxa"/>
          </w:tcPr>
          <w:p w:rsidR="007335FD" w:rsidRDefault="00815898">
            <w:pPr>
              <w:autoSpaceDE w:val="0"/>
              <w:autoSpaceDN w:val="0"/>
              <w:adjustRightInd w:val="0"/>
              <w:spacing w:line="360" w:lineRule="auto"/>
              <w:jc w:val="center"/>
              <w:rPr>
                <w:rFonts w:ascii="Bernard MT Condensed" w:hAnsi="Bernard MT Condensed" w:cs="Aparajita"/>
                <w:sz w:val="36"/>
                <w:szCs w:val="36"/>
              </w:rPr>
            </w:pPr>
            <w:r>
              <w:rPr>
                <w:rFonts w:ascii="Aparajita" w:hAnsi="Aparajita" w:cs="Aparajita"/>
                <w:noProof/>
                <w:sz w:val="24"/>
                <w:szCs w:val="24"/>
              </w:rPr>
              <w:drawing>
                <wp:anchor distT="0" distB="0" distL="114300" distR="114300" simplePos="0" relativeHeight="251724800" behindDoc="1" locked="0" layoutInCell="1" allowOverlap="1">
                  <wp:simplePos x="0" y="0"/>
                  <wp:positionH relativeFrom="column">
                    <wp:posOffset>-51435</wp:posOffset>
                  </wp:positionH>
                  <wp:positionV relativeFrom="paragraph">
                    <wp:posOffset>-11430</wp:posOffset>
                  </wp:positionV>
                  <wp:extent cx="4118610" cy="889000"/>
                  <wp:effectExtent l="0" t="0" r="8890" b="0"/>
                  <wp:wrapNone/>
                  <wp:docPr id="18" name="Picture 5" descr="C:\Users\Toshiba\Documents\Demok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C:\Users\Toshiba\Documents\Demokrasi.jpg"/>
                          <pic:cNvPicPr>
                            <a:picLocks noChangeAspect="1" noChangeArrowheads="1"/>
                          </pic:cNvPicPr>
                        </pic:nvPicPr>
                        <pic:blipFill>
                          <a:blip r:embed="rId50" cstate="print"/>
                          <a:srcRect/>
                          <a:stretch>
                            <a:fillRect/>
                          </a:stretch>
                        </pic:blipFill>
                        <pic:spPr>
                          <a:xfrm>
                            <a:off x="0" y="0"/>
                            <a:ext cx="4118610" cy="889000"/>
                          </a:xfrm>
                          <a:prstGeom prst="rect">
                            <a:avLst/>
                          </a:prstGeom>
                          <a:noFill/>
                          <a:ln w="9525">
                            <a:noFill/>
                            <a:miter lim="800000"/>
                            <a:headEnd/>
                            <a:tailEnd/>
                          </a:ln>
                        </pic:spPr>
                      </pic:pic>
                    </a:graphicData>
                  </a:graphic>
                </wp:anchor>
              </w:drawing>
            </w:r>
          </w:p>
          <w:p w:rsidR="007335FD" w:rsidRDefault="007335FD">
            <w:pPr>
              <w:pStyle w:val="NoSpacing"/>
              <w:jc w:val="center"/>
              <w:rPr>
                <w:rFonts w:ascii="Bernard MT Condensed" w:hAnsi="Bernard MT Condensed"/>
                <w:sz w:val="32"/>
                <w:szCs w:val="32"/>
              </w:rPr>
            </w:pPr>
          </w:p>
          <w:p w:rsidR="007335FD" w:rsidRDefault="00815898">
            <w:pPr>
              <w:pStyle w:val="NoSpacing"/>
              <w:jc w:val="center"/>
              <w:rPr>
                <w:rFonts w:ascii="Segoe UI Black" w:hAnsi="Segoe UI Black" w:cs="Segoe UI Black"/>
                <w:sz w:val="32"/>
                <w:szCs w:val="32"/>
              </w:rPr>
            </w:pPr>
            <w:r>
              <w:rPr>
                <w:rFonts w:ascii="Segoe UI Black" w:hAnsi="Segoe UI Black" w:cs="Segoe UI Black"/>
                <w:sz w:val="32"/>
                <w:szCs w:val="32"/>
              </w:rPr>
              <w:t>SASARAN STRATEGIS III</w:t>
            </w:r>
          </w:p>
          <w:p w:rsidR="007335FD" w:rsidRDefault="00815898">
            <w:pPr>
              <w:pStyle w:val="NoSpacing"/>
              <w:jc w:val="center"/>
              <w:rPr>
                <w:rFonts w:ascii="Aparajita" w:hAnsi="Aparajita" w:cs="Aparajita"/>
                <w:sz w:val="24"/>
                <w:szCs w:val="24"/>
              </w:rPr>
            </w:pPr>
            <w:r>
              <w:rPr>
                <w:rFonts w:ascii="Segoe UI Black" w:hAnsi="Segoe UI Black" w:cs="Segoe UI Black"/>
                <w:sz w:val="32"/>
                <w:szCs w:val="32"/>
                <w:lang w:val="sv-SE"/>
              </w:rPr>
              <w:t>Meningkatnya kualitas demokrasi di Sumatera Barat</w:t>
            </w:r>
          </w:p>
        </w:tc>
      </w:tr>
    </w:tbl>
    <w:p w:rsidR="007335FD" w:rsidRDefault="007335FD">
      <w:pPr>
        <w:pStyle w:val="NoSpacing"/>
        <w:spacing w:line="360" w:lineRule="auto"/>
        <w:ind w:firstLine="720"/>
        <w:rPr>
          <w:rFonts w:cs="Arial"/>
          <w:sz w:val="24"/>
          <w:szCs w:val="24"/>
        </w:rPr>
      </w:pPr>
    </w:p>
    <w:p w:rsidR="007335FD" w:rsidRDefault="00815898">
      <w:pPr>
        <w:pStyle w:val="NormalWeb"/>
        <w:spacing w:beforeAutospacing="0" w:afterAutospacing="0" w:line="360" w:lineRule="auto"/>
        <w:ind w:left="426" w:firstLine="588"/>
        <w:jc w:val="both"/>
      </w:pPr>
      <w:r>
        <w:t xml:space="preserve">Kehidupan politik yang merupakan bagian dari keseharian dalam interaksi antar warga negara dengan Pemerintah, dan institusi-institusi diluar Pemerintah (non-formal), telah menghasilkan dan membentuk berbagai pendapat, pandangan dan pengetahuan tentang praktik-praktik perilaku politik dalam semua sistem politik. </w:t>
      </w:r>
      <w:proofErr w:type="gramStart"/>
      <w:r>
        <w:t>Oleh karena itu seringkali kita bisa melihat dan mengukur pengetahuan-pengetahuan, perasaan dan sikap warga negara terhadap negaranya, Pemerintahnya, pemimpin politik dan lain-lain.</w:t>
      </w:r>
      <w:proofErr w:type="gramEnd"/>
    </w:p>
    <w:p w:rsidR="007335FD" w:rsidRDefault="00815898">
      <w:pPr>
        <w:spacing w:after="0" w:line="360" w:lineRule="auto"/>
        <w:ind w:left="426" w:firstLine="654"/>
        <w:jc w:val="both"/>
        <w:rPr>
          <w:rFonts w:hAnsi="Times New Roman"/>
          <w:sz w:val="24"/>
          <w:szCs w:val="24"/>
        </w:rPr>
      </w:pPr>
      <w:proofErr w:type="gramStart"/>
      <w:r>
        <w:rPr>
          <w:rFonts w:hAnsi="Times New Roman"/>
          <w:sz w:val="24"/>
          <w:szCs w:val="24"/>
        </w:rPr>
        <w:t>Pembangunan demokrasi dan politik merupakan hal yang penting dan terus diupayakan oleh Pemerintah.</w:t>
      </w:r>
      <w:proofErr w:type="gramEnd"/>
      <w:r>
        <w:rPr>
          <w:rFonts w:hAnsi="Times New Roman"/>
          <w:sz w:val="24"/>
          <w:szCs w:val="24"/>
        </w:rPr>
        <w:t xml:space="preserve"> </w:t>
      </w:r>
      <w:proofErr w:type="gramStart"/>
      <w:r>
        <w:rPr>
          <w:rFonts w:hAnsi="Times New Roman"/>
          <w:sz w:val="24"/>
          <w:szCs w:val="24"/>
        </w:rPr>
        <w:t>Pembangunan demokrasi memerlukan data yang empirik untuk dapat dijadikan landasan kebijakan dan merumuskan strategi yang spesifik dan akurat sehingga dapat memberikan gambaran tentang perkembangan demokrasi di Indonesia.</w:t>
      </w:r>
      <w:proofErr w:type="gramEnd"/>
      <w:r>
        <w:rPr>
          <w:rFonts w:hAnsi="Times New Roman"/>
          <w:sz w:val="24"/>
          <w:szCs w:val="24"/>
        </w:rPr>
        <w:t xml:space="preserve"> </w:t>
      </w:r>
      <w:proofErr w:type="gramStart"/>
      <w:r>
        <w:rPr>
          <w:rFonts w:hAnsi="Times New Roman"/>
          <w:sz w:val="24"/>
          <w:szCs w:val="24"/>
        </w:rPr>
        <w:t>Namun untuk mengukur tingkat pencapaian baik ditingkat daerah maupun di tingkat pusat bukanlah sesuatu yang mudah.</w:t>
      </w:r>
      <w:proofErr w:type="gramEnd"/>
      <w:r>
        <w:rPr>
          <w:rFonts w:hAnsi="Times New Roman"/>
          <w:sz w:val="24"/>
          <w:szCs w:val="24"/>
        </w:rPr>
        <w:t xml:space="preserve"> </w:t>
      </w:r>
    </w:p>
    <w:p w:rsidR="007335FD" w:rsidRDefault="00815898">
      <w:pPr>
        <w:spacing w:after="0" w:line="360" w:lineRule="auto"/>
        <w:ind w:left="426" w:firstLine="654"/>
        <w:jc w:val="both"/>
        <w:rPr>
          <w:rFonts w:hAnsi="Times New Roman"/>
          <w:sz w:val="24"/>
          <w:szCs w:val="24"/>
        </w:rPr>
      </w:pPr>
      <w:proofErr w:type="gramStart"/>
      <w:r>
        <w:rPr>
          <w:rFonts w:hAnsi="Times New Roman"/>
          <w:sz w:val="24"/>
          <w:szCs w:val="24"/>
        </w:rPr>
        <w:t>Indeks Demokrasi Indonesia adalah indikator komposit yang menunjukkan perkembangan demokrasi di Indonesia.</w:t>
      </w:r>
      <w:proofErr w:type="gramEnd"/>
      <w:r>
        <w:rPr>
          <w:rFonts w:hAnsi="Times New Roman"/>
          <w:sz w:val="24"/>
          <w:szCs w:val="24"/>
        </w:rPr>
        <w:t xml:space="preserve">  Tingkat capaiannya diukur berdasarkan pelaksanaan dan perkembangan tiga aspek demokrasi, yaitu Kebebasan Sipil </w:t>
      </w:r>
      <w:r>
        <w:rPr>
          <w:rFonts w:hAnsi="Times New Roman"/>
          <w:i/>
          <w:sz w:val="24"/>
          <w:szCs w:val="24"/>
        </w:rPr>
        <w:t>(Civil Liberty)</w:t>
      </w:r>
      <w:r>
        <w:rPr>
          <w:rFonts w:hAnsi="Times New Roman"/>
          <w:sz w:val="24"/>
          <w:szCs w:val="24"/>
        </w:rPr>
        <w:t xml:space="preserve">, Hak-Hak Politik </w:t>
      </w:r>
      <w:r>
        <w:rPr>
          <w:rFonts w:hAnsi="Times New Roman"/>
          <w:i/>
          <w:sz w:val="24"/>
          <w:szCs w:val="24"/>
        </w:rPr>
        <w:t>(Political Rights)</w:t>
      </w:r>
      <w:r>
        <w:rPr>
          <w:rFonts w:hAnsi="Times New Roman"/>
          <w:sz w:val="24"/>
          <w:szCs w:val="24"/>
        </w:rPr>
        <w:t xml:space="preserve">, dan Lembaga-Lembaga Demokrasi </w:t>
      </w:r>
      <w:r>
        <w:rPr>
          <w:rFonts w:hAnsi="Times New Roman"/>
          <w:i/>
          <w:sz w:val="24"/>
          <w:szCs w:val="24"/>
        </w:rPr>
        <w:t>(Institusional of Democracy)</w:t>
      </w:r>
      <w:r>
        <w:rPr>
          <w:rFonts w:hAnsi="Times New Roman"/>
          <w:sz w:val="24"/>
          <w:szCs w:val="24"/>
        </w:rPr>
        <w:t xml:space="preserve">. </w:t>
      </w:r>
    </w:p>
    <w:p w:rsidR="007335FD" w:rsidRDefault="00815898">
      <w:pPr>
        <w:spacing w:after="0" w:line="360" w:lineRule="auto"/>
        <w:ind w:left="426" w:firstLine="654"/>
        <w:jc w:val="both"/>
        <w:rPr>
          <w:rFonts w:hAnsi="Times New Roman"/>
          <w:sz w:val="24"/>
          <w:szCs w:val="24"/>
        </w:rPr>
      </w:pPr>
      <w:proofErr w:type="gramStart"/>
      <w:r>
        <w:rPr>
          <w:rFonts w:hAnsi="Times New Roman"/>
          <w:sz w:val="24"/>
          <w:szCs w:val="24"/>
        </w:rPr>
        <w:t>Indeks Demokrasi Indonesia bertujuan untuk mengukur secara kuantitatif perkembangan demokrasi.</w:t>
      </w:r>
      <w:proofErr w:type="gramEnd"/>
      <w:r>
        <w:rPr>
          <w:rFonts w:hAnsi="Times New Roman"/>
          <w:sz w:val="24"/>
          <w:szCs w:val="24"/>
        </w:rPr>
        <w:t xml:space="preserve"> Indeks Demokrasi Indonesia merupakan indikator yang tidak hanya melihat gambaran demokrasi, yang berasal dari kinerja Pemerintah/Birokrasi saja, namun juga melihat perkembangan demokrasi dari aspek peran masyarakat, lembaga legislatif, partai politik, lembaga peradilan, dan penegak hukum. </w:t>
      </w:r>
      <w:proofErr w:type="gramStart"/>
      <w:r>
        <w:rPr>
          <w:rFonts w:hAnsi="Times New Roman"/>
          <w:sz w:val="24"/>
          <w:szCs w:val="24"/>
        </w:rPr>
        <w:t>Oleh karena itu, perkembangan Indeks Demokrasi Indonesia merupakan tanggung jawab semua stakeholder dan tidak hanya Pemerintah saja.</w:t>
      </w:r>
      <w:proofErr w:type="gramEnd"/>
    </w:p>
    <w:p w:rsidR="007335FD" w:rsidRDefault="00815898">
      <w:pPr>
        <w:spacing w:after="0" w:line="360" w:lineRule="auto"/>
        <w:ind w:left="426" w:firstLine="654"/>
        <w:jc w:val="both"/>
        <w:rPr>
          <w:color w:val="000000" w:themeColor="text1"/>
          <w:sz w:val="24"/>
          <w:szCs w:val="24"/>
        </w:rPr>
      </w:pPr>
      <w:proofErr w:type="gramStart"/>
      <w:r>
        <w:rPr>
          <w:rFonts w:hAnsi="Times New Roman"/>
          <w:sz w:val="24"/>
          <w:szCs w:val="24"/>
        </w:rPr>
        <w:lastRenderedPageBreak/>
        <w:t>Badan Kesatuan Bangsa dan Politik Provinsi Sumatera Barat berperan penting dalam mewujudkan kualitas demokrasi di Sumatera Barat.</w:t>
      </w:r>
      <w:proofErr w:type="gramEnd"/>
      <w:r>
        <w:rPr>
          <w:rFonts w:hAnsi="Times New Roman"/>
          <w:sz w:val="24"/>
          <w:szCs w:val="24"/>
        </w:rPr>
        <w:t xml:space="preserve"> </w:t>
      </w:r>
      <w:proofErr w:type="gramStart"/>
      <w:r>
        <w:rPr>
          <w:rFonts w:cs="Arial"/>
          <w:sz w:val="24"/>
          <w:szCs w:val="24"/>
        </w:rPr>
        <w:t xml:space="preserve">Indikator kinerja yang ditetapkan untuk mengukur keberhasilan sasaran strategis meningkatnya kualitas demokrasi di Sumatera Barat adalah nilai Indeks Demokrasi Indonesia (IDI) </w:t>
      </w:r>
      <w:r>
        <w:rPr>
          <w:color w:val="000000" w:themeColor="text1"/>
          <w:sz w:val="24"/>
          <w:szCs w:val="24"/>
        </w:rPr>
        <w:t>di Sumbar.</w:t>
      </w:r>
      <w:proofErr w:type="gramEnd"/>
      <w:r>
        <w:rPr>
          <w:color w:val="000000" w:themeColor="text1"/>
          <w:sz w:val="24"/>
          <w:szCs w:val="24"/>
        </w:rPr>
        <w:t xml:space="preserve"> Realisasi dan capaian indikator kinerja tersebut tercantum pada tabel 3.22</w:t>
      </w:r>
    </w:p>
    <w:p w:rsidR="007335FD" w:rsidRDefault="00815898">
      <w:pPr>
        <w:pStyle w:val="NoSpacing"/>
        <w:jc w:val="center"/>
        <w:rPr>
          <w:rFonts w:hAnsi="Berlin Sans FB Demi"/>
          <w:b/>
          <w:bCs/>
          <w:sz w:val="24"/>
          <w:szCs w:val="24"/>
        </w:rPr>
      </w:pPr>
      <w:r>
        <w:rPr>
          <w:rFonts w:hAnsi="Berlin Sans FB Demi"/>
          <w:b/>
          <w:bCs/>
          <w:sz w:val="24"/>
          <w:szCs w:val="24"/>
        </w:rPr>
        <w:t>Tabel 3.20</w:t>
      </w:r>
    </w:p>
    <w:p w:rsidR="007335FD" w:rsidRDefault="00815898">
      <w:pPr>
        <w:autoSpaceDE w:val="0"/>
        <w:autoSpaceDN w:val="0"/>
        <w:adjustRightInd w:val="0"/>
        <w:spacing w:after="0" w:line="360" w:lineRule="auto"/>
        <w:ind w:firstLine="720"/>
        <w:jc w:val="center"/>
        <w:rPr>
          <w:b/>
          <w:bCs/>
          <w:color w:val="000000" w:themeColor="text1"/>
          <w:sz w:val="24"/>
          <w:szCs w:val="24"/>
        </w:rPr>
      </w:pPr>
      <w:r>
        <w:rPr>
          <w:rFonts w:hAnsi="Berlin Sans FB Demi"/>
          <w:b/>
          <w:bCs/>
          <w:sz w:val="24"/>
          <w:szCs w:val="24"/>
        </w:rPr>
        <w:t>Capaian Kinerja Indikator Kinerja Sasaran Strategis III</w:t>
      </w:r>
    </w:p>
    <w:tbl>
      <w:tblPr>
        <w:tblStyle w:val="TableGrid"/>
        <w:tblW w:w="8935" w:type="dxa"/>
        <w:tblInd w:w="529" w:type="dxa"/>
        <w:tblLayout w:type="fixed"/>
        <w:tblLook w:val="04A0" w:firstRow="1" w:lastRow="0" w:firstColumn="1" w:lastColumn="0" w:noHBand="0" w:noVBand="1"/>
      </w:tblPr>
      <w:tblGrid>
        <w:gridCol w:w="550"/>
        <w:gridCol w:w="2550"/>
        <w:gridCol w:w="1437"/>
        <w:gridCol w:w="1500"/>
        <w:gridCol w:w="1413"/>
        <w:gridCol w:w="1485"/>
      </w:tblGrid>
      <w:tr w:rsidR="007335FD">
        <w:tc>
          <w:tcPr>
            <w:tcW w:w="550" w:type="dxa"/>
            <w:tcBorders>
              <w:bottom w:val="single" w:sz="4" w:space="0" w:color="auto"/>
            </w:tcBorders>
            <w:shd w:val="clear" w:color="auto" w:fill="C00000"/>
          </w:tcPr>
          <w:p w:rsidR="007335FD" w:rsidRDefault="00815898">
            <w:pPr>
              <w:pStyle w:val="NoSpacing"/>
              <w:jc w:val="center"/>
              <w:rPr>
                <w:sz w:val="24"/>
                <w:szCs w:val="24"/>
              </w:rPr>
            </w:pPr>
            <w:r>
              <w:rPr>
                <w:sz w:val="24"/>
                <w:szCs w:val="24"/>
              </w:rPr>
              <w:t>No</w:t>
            </w:r>
          </w:p>
        </w:tc>
        <w:tc>
          <w:tcPr>
            <w:tcW w:w="2550" w:type="dxa"/>
            <w:tcBorders>
              <w:bottom w:val="single" w:sz="4" w:space="0" w:color="auto"/>
            </w:tcBorders>
            <w:shd w:val="clear" w:color="auto" w:fill="C00000"/>
          </w:tcPr>
          <w:p w:rsidR="007335FD" w:rsidRDefault="00815898">
            <w:pPr>
              <w:pStyle w:val="NoSpacing"/>
              <w:jc w:val="center"/>
              <w:rPr>
                <w:sz w:val="24"/>
                <w:szCs w:val="24"/>
              </w:rPr>
            </w:pPr>
            <w:r>
              <w:rPr>
                <w:sz w:val="24"/>
                <w:szCs w:val="24"/>
              </w:rPr>
              <w:t>INDIKATOR KINERJA</w:t>
            </w:r>
          </w:p>
        </w:tc>
        <w:tc>
          <w:tcPr>
            <w:tcW w:w="1437" w:type="dxa"/>
            <w:tcBorders>
              <w:bottom w:val="single" w:sz="4" w:space="0" w:color="auto"/>
            </w:tcBorders>
            <w:shd w:val="clear" w:color="auto" w:fill="C00000"/>
          </w:tcPr>
          <w:p w:rsidR="007335FD" w:rsidRDefault="00815898">
            <w:pPr>
              <w:pStyle w:val="NoSpacing"/>
              <w:jc w:val="center"/>
              <w:rPr>
                <w:sz w:val="24"/>
                <w:szCs w:val="24"/>
              </w:rPr>
            </w:pPr>
            <w:r>
              <w:rPr>
                <w:sz w:val="24"/>
                <w:szCs w:val="24"/>
              </w:rPr>
              <w:t>SATUAN</w:t>
            </w:r>
          </w:p>
        </w:tc>
        <w:tc>
          <w:tcPr>
            <w:tcW w:w="1500" w:type="dxa"/>
            <w:tcBorders>
              <w:bottom w:val="single" w:sz="4" w:space="0" w:color="auto"/>
            </w:tcBorders>
            <w:shd w:val="clear" w:color="auto" w:fill="C00000"/>
          </w:tcPr>
          <w:p w:rsidR="007335FD" w:rsidRDefault="00815898">
            <w:pPr>
              <w:pStyle w:val="NoSpacing"/>
              <w:jc w:val="center"/>
              <w:rPr>
                <w:sz w:val="24"/>
                <w:szCs w:val="24"/>
              </w:rPr>
            </w:pPr>
            <w:r>
              <w:rPr>
                <w:sz w:val="24"/>
                <w:szCs w:val="24"/>
              </w:rPr>
              <w:t>TARGET</w:t>
            </w:r>
          </w:p>
        </w:tc>
        <w:tc>
          <w:tcPr>
            <w:tcW w:w="1413" w:type="dxa"/>
            <w:tcBorders>
              <w:bottom w:val="single" w:sz="4" w:space="0" w:color="auto"/>
            </w:tcBorders>
            <w:shd w:val="clear" w:color="auto" w:fill="C00000"/>
          </w:tcPr>
          <w:p w:rsidR="007335FD" w:rsidRDefault="00815898">
            <w:pPr>
              <w:pStyle w:val="NoSpacing"/>
              <w:jc w:val="center"/>
              <w:rPr>
                <w:sz w:val="24"/>
                <w:szCs w:val="24"/>
              </w:rPr>
            </w:pPr>
            <w:r>
              <w:rPr>
                <w:sz w:val="24"/>
                <w:szCs w:val="24"/>
              </w:rPr>
              <w:t>REALISASI</w:t>
            </w:r>
          </w:p>
        </w:tc>
        <w:tc>
          <w:tcPr>
            <w:tcW w:w="1485" w:type="dxa"/>
            <w:tcBorders>
              <w:bottom w:val="single" w:sz="4" w:space="0" w:color="auto"/>
            </w:tcBorders>
            <w:shd w:val="clear" w:color="auto" w:fill="C00000"/>
          </w:tcPr>
          <w:p w:rsidR="007335FD" w:rsidRDefault="00815898">
            <w:pPr>
              <w:pStyle w:val="NoSpacing"/>
              <w:jc w:val="center"/>
              <w:rPr>
                <w:sz w:val="24"/>
                <w:szCs w:val="24"/>
              </w:rPr>
            </w:pPr>
            <w:r>
              <w:rPr>
                <w:sz w:val="24"/>
                <w:szCs w:val="24"/>
              </w:rPr>
              <w:t>% CAPAIAN</w:t>
            </w:r>
          </w:p>
        </w:tc>
      </w:tr>
      <w:tr w:rsidR="007335FD">
        <w:trPr>
          <w:trHeight w:val="1100"/>
        </w:trPr>
        <w:tc>
          <w:tcPr>
            <w:tcW w:w="550" w:type="dxa"/>
            <w:shd w:val="clear" w:color="auto" w:fill="auto"/>
          </w:tcPr>
          <w:p w:rsidR="007335FD" w:rsidRDefault="00815898">
            <w:pPr>
              <w:pStyle w:val="NoSpacing"/>
              <w:jc w:val="center"/>
              <w:rPr>
                <w:sz w:val="24"/>
                <w:szCs w:val="24"/>
              </w:rPr>
            </w:pPr>
            <w:r>
              <w:rPr>
                <w:sz w:val="24"/>
                <w:szCs w:val="24"/>
              </w:rPr>
              <w:t>1</w:t>
            </w:r>
          </w:p>
        </w:tc>
        <w:tc>
          <w:tcPr>
            <w:tcW w:w="2550" w:type="dxa"/>
            <w:shd w:val="clear" w:color="auto" w:fill="auto"/>
          </w:tcPr>
          <w:p w:rsidR="007335FD" w:rsidRDefault="00815898">
            <w:pPr>
              <w:pStyle w:val="NoSpacing"/>
              <w:jc w:val="left"/>
              <w:rPr>
                <w:sz w:val="24"/>
                <w:szCs w:val="24"/>
              </w:rPr>
            </w:pPr>
            <w:r>
              <w:rPr>
                <w:color w:val="000000" w:themeColor="text1"/>
                <w:sz w:val="24"/>
                <w:szCs w:val="24"/>
              </w:rPr>
              <w:t>Nilai Indeks Demokrasi Indonesia (IDI) di Sumbar</w:t>
            </w:r>
          </w:p>
        </w:tc>
        <w:tc>
          <w:tcPr>
            <w:tcW w:w="1437" w:type="dxa"/>
            <w:shd w:val="clear" w:color="auto" w:fill="auto"/>
          </w:tcPr>
          <w:p w:rsidR="007335FD" w:rsidRDefault="00815898">
            <w:pPr>
              <w:pStyle w:val="NoSpacing"/>
              <w:jc w:val="center"/>
              <w:rPr>
                <w:sz w:val="24"/>
                <w:szCs w:val="24"/>
              </w:rPr>
            </w:pPr>
            <w:r>
              <w:rPr>
                <w:sz w:val="24"/>
                <w:szCs w:val="24"/>
              </w:rPr>
              <w:t>Nilai</w:t>
            </w:r>
          </w:p>
          <w:p w:rsidR="007335FD" w:rsidRDefault="007335FD">
            <w:pPr>
              <w:pStyle w:val="NoSpacing"/>
              <w:jc w:val="center"/>
              <w:rPr>
                <w:sz w:val="24"/>
                <w:szCs w:val="24"/>
              </w:rPr>
            </w:pPr>
          </w:p>
          <w:p w:rsidR="007335FD" w:rsidRDefault="007335FD">
            <w:pPr>
              <w:pStyle w:val="NoSpacing"/>
              <w:jc w:val="center"/>
              <w:rPr>
                <w:sz w:val="24"/>
                <w:szCs w:val="24"/>
              </w:rPr>
            </w:pPr>
          </w:p>
        </w:tc>
        <w:tc>
          <w:tcPr>
            <w:tcW w:w="1500" w:type="dxa"/>
            <w:shd w:val="clear" w:color="auto" w:fill="auto"/>
          </w:tcPr>
          <w:p w:rsidR="007335FD" w:rsidRDefault="00815898">
            <w:pPr>
              <w:pStyle w:val="NoSpacing"/>
              <w:jc w:val="center"/>
              <w:rPr>
                <w:sz w:val="24"/>
                <w:szCs w:val="24"/>
              </w:rPr>
            </w:pPr>
            <w:r>
              <w:rPr>
                <w:sz w:val="24"/>
                <w:szCs w:val="24"/>
              </w:rPr>
              <w:t>70</w:t>
            </w:r>
          </w:p>
        </w:tc>
        <w:tc>
          <w:tcPr>
            <w:tcW w:w="1413" w:type="dxa"/>
            <w:shd w:val="clear" w:color="auto" w:fill="auto"/>
          </w:tcPr>
          <w:p w:rsidR="007335FD" w:rsidRDefault="00815898">
            <w:pPr>
              <w:pStyle w:val="NoSpacing"/>
              <w:jc w:val="center"/>
              <w:rPr>
                <w:sz w:val="24"/>
                <w:szCs w:val="24"/>
              </w:rPr>
            </w:pPr>
            <w:r>
              <w:rPr>
                <w:sz w:val="24"/>
                <w:szCs w:val="24"/>
              </w:rPr>
              <w:t>69,50</w:t>
            </w:r>
          </w:p>
        </w:tc>
        <w:tc>
          <w:tcPr>
            <w:tcW w:w="1485" w:type="dxa"/>
            <w:shd w:val="clear" w:color="auto" w:fill="auto"/>
          </w:tcPr>
          <w:p w:rsidR="007335FD" w:rsidRDefault="00815898">
            <w:pPr>
              <w:pStyle w:val="NoSpacing"/>
              <w:jc w:val="center"/>
              <w:rPr>
                <w:sz w:val="24"/>
                <w:szCs w:val="24"/>
              </w:rPr>
            </w:pPr>
            <w:r>
              <w:rPr>
                <w:sz w:val="24"/>
                <w:szCs w:val="24"/>
              </w:rPr>
              <w:t>99,28%</w:t>
            </w:r>
          </w:p>
        </w:tc>
      </w:tr>
    </w:tbl>
    <w:p w:rsidR="007335FD" w:rsidRDefault="007335FD">
      <w:pPr>
        <w:autoSpaceDE w:val="0"/>
        <w:autoSpaceDN w:val="0"/>
        <w:adjustRightInd w:val="0"/>
        <w:spacing w:after="0" w:line="360" w:lineRule="auto"/>
        <w:jc w:val="both"/>
        <w:rPr>
          <w:rFonts w:cs="Aparajita"/>
          <w:b/>
          <w:sz w:val="24"/>
          <w:szCs w:val="24"/>
        </w:rPr>
      </w:pPr>
    </w:p>
    <w:p w:rsidR="007335FD" w:rsidRDefault="00815898">
      <w:pPr>
        <w:autoSpaceDE w:val="0"/>
        <w:autoSpaceDN w:val="0"/>
        <w:adjustRightInd w:val="0"/>
        <w:spacing w:after="0" w:line="360" w:lineRule="auto"/>
        <w:ind w:leftChars="200" w:left="440" w:firstLine="720"/>
        <w:jc w:val="both"/>
        <w:rPr>
          <w:rFonts w:cs="Arial"/>
          <w:b/>
          <w:sz w:val="24"/>
          <w:szCs w:val="24"/>
        </w:rPr>
      </w:pPr>
      <w:proofErr w:type="gramStart"/>
      <w:r>
        <w:rPr>
          <w:rFonts w:cs="Arial"/>
          <w:sz w:val="24"/>
          <w:szCs w:val="24"/>
        </w:rPr>
        <w:t xml:space="preserve">Dari tabel di atas dapat dilihat bahwa </w:t>
      </w:r>
      <w:r>
        <w:rPr>
          <w:color w:val="000000" w:themeColor="text1"/>
          <w:sz w:val="24"/>
          <w:szCs w:val="24"/>
        </w:rPr>
        <w:t>nilai Indeks Demokrasi Indonesia (IDI) di Sumbar</w:t>
      </w:r>
      <w:r>
        <w:rPr>
          <w:rFonts w:cs="Arial"/>
          <w:sz w:val="24"/>
          <w:szCs w:val="24"/>
        </w:rPr>
        <w:t xml:space="preserve"> ditargetkan sebesar 70.</w:t>
      </w:r>
      <w:proofErr w:type="gramEnd"/>
      <w:r>
        <w:rPr>
          <w:rFonts w:cs="Arial"/>
          <w:sz w:val="24"/>
          <w:szCs w:val="24"/>
        </w:rPr>
        <w:t xml:space="preserve"> Realisasinya menunjukkan nilai IDI di Sumbar pada tahun 2017 yang dirilis oelh Badan Pusat Statistik pada tahun 2018 sebesar 69,50, atau naik 15,09 poin dibandingkan tahun sebelumnya sehingga capaian kinerja untuk indikator ini sebesar 99,28 % dan termasuk kategori keberhasilan </w:t>
      </w:r>
      <w:r>
        <w:rPr>
          <w:rFonts w:cs="Arial"/>
          <w:b/>
          <w:bCs/>
          <w:sz w:val="24"/>
          <w:szCs w:val="24"/>
        </w:rPr>
        <w:t xml:space="preserve">sangat </w:t>
      </w:r>
      <w:r>
        <w:rPr>
          <w:rFonts w:cs="Arial"/>
          <w:b/>
          <w:sz w:val="24"/>
          <w:szCs w:val="24"/>
        </w:rPr>
        <w:t>baik.</w:t>
      </w:r>
    </w:p>
    <w:p w:rsidR="007335FD" w:rsidRDefault="007335FD">
      <w:pPr>
        <w:autoSpaceDE w:val="0"/>
        <w:autoSpaceDN w:val="0"/>
        <w:adjustRightInd w:val="0"/>
        <w:spacing w:after="0" w:line="360" w:lineRule="auto"/>
        <w:ind w:left="720" w:firstLine="720"/>
        <w:jc w:val="both"/>
        <w:rPr>
          <w:rFonts w:cs="Aparajita"/>
          <w:sz w:val="24"/>
          <w:szCs w:val="24"/>
        </w:rPr>
      </w:pPr>
    </w:p>
    <w:p w:rsidR="007335FD" w:rsidRDefault="00815898">
      <w:pPr>
        <w:autoSpaceDE w:val="0"/>
        <w:autoSpaceDN w:val="0"/>
        <w:adjustRightInd w:val="0"/>
        <w:spacing w:after="0" w:line="360" w:lineRule="auto"/>
        <w:ind w:left="720" w:firstLine="720"/>
        <w:jc w:val="both"/>
        <w:rPr>
          <w:rFonts w:cs="Aparajita"/>
          <w:sz w:val="24"/>
          <w:szCs w:val="24"/>
        </w:rPr>
      </w:pPr>
      <w:r>
        <w:rPr>
          <w:rFonts w:cs="Aparajita"/>
          <w:sz w:val="24"/>
          <w:szCs w:val="24"/>
        </w:rPr>
        <w:t>T</w:t>
      </w:r>
      <w:r>
        <w:rPr>
          <w:rFonts w:eastAsia="Batang" w:cs="Aparajita"/>
          <w:sz w:val="24"/>
          <w:szCs w:val="24"/>
        </w:rPr>
        <w:t xml:space="preserve">ingkat capaian kinerja diperoleh dengan menggunakan rumus </w:t>
      </w:r>
      <w:proofErr w:type="gramStart"/>
      <w:r>
        <w:rPr>
          <w:rFonts w:eastAsia="Batang" w:cs="Aparajita"/>
          <w:sz w:val="24"/>
          <w:szCs w:val="24"/>
        </w:rPr>
        <w:t>berikut :</w:t>
      </w:r>
      <w:proofErr w:type="gramEnd"/>
    </w:p>
    <w:p w:rsidR="007335FD" w:rsidRDefault="00851EC5">
      <w:pPr>
        <w:pStyle w:val="ListParagraph"/>
        <w:spacing w:line="360" w:lineRule="auto"/>
        <w:jc w:val="both"/>
        <w:rPr>
          <w:rFonts w:ascii="Aparajita" w:eastAsia="Batang" w:hAnsi="Aparajita" w:cs="Aparajita"/>
          <w:sz w:val="24"/>
          <w:szCs w:val="24"/>
        </w:rPr>
      </w:pPr>
      <w:r>
        <w:rPr>
          <w:rFonts w:ascii="Aparajita" w:eastAsia="Batang" w:hAnsi="Aparajita" w:cs="Aparajita"/>
          <w:sz w:val="24"/>
          <w:szCs w:val="24"/>
        </w:rPr>
        <w:pict>
          <v:rect id="_x0000_s1062" style="position:absolute;left:0;text-align:left;margin-left:57pt;margin-top:4.1pt;width:354.75pt;height:41.1pt;z-index:251728896;mso-width-relative:page;mso-height-relative:page" filled="f" strokecolor="#c00000" strokeweight="3pt">
            <v:shadow on="t" color="#632523" opacity=".5" offset="1pt"/>
            <v:textbox>
              <w:txbxContent>
                <w:p w:rsidR="00815898" w:rsidRDefault="00815898">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num>
                        <m:den>
                          <m:r>
                            <w:rPr>
                              <w:rFonts w:ascii="Cambria Math" w:hAnsi="Aparajita" w:cs="Aparajita"/>
                              <w:sz w:val="24"/>
                              <w:szCs w:val="24"/>
                            </w:rPr>
                            <m:t>Target</m:t>
                          </m:r>
                        </m:den>
                      </m:f>
                      <m:r>
                        <w:rPr>
                          <w:rFonts w:ascii="Cambria Math" w:hAnsi="Cambria Math" w:cs="Aparajita"/>
                          <w:sz w:val="24"/>
                          <w:szCs w:val="24"/>
                        </w:rPr>
                        <m:t>x</m:t>
                      </m:r>
                      <m:r>
                        <w:rPr>
                          <w:rFonts w:ascii="Cambria Math" w:hAnsi="Aparajita" w:cs="Aparajita"/>
                          <w:sz w:val="24"/>
                          <w:szCs w:val="24"/>
                        </w:rPr>
                        <m:t xml:space="preserve"> 100%</m:t>
                      </m:r>
                    </m:oMath>
                  </m:oMathPara>
                </w:p>
                <w:p w:rsidR="00815898" w:rsidRDefault="00815898">
                  <w:pPr>
                    <w:jc w:val="center"/>
                  </w:pPr>
                </w:p>
                <w:p w:rsidR="00815898" w:rsidRDefault="00815898">
                  <w:pPr>
                    <w:jc w:val="center"/>
                    <w:rPr>
                      <w:rFonts w:ascii="Berlin Sans FB" w:hAnsi="Berlin Sans FB"/>
                      <w:sz w:val="24"/>
                      <w:szCs w:val="24"/>
                    </w:rPr>
                  </w:pPr>
                </w:p>
              </w:txbxContent>
            </v:textbox>
          </v:rect>
        </w:pict>
      </w:r>
    </w:p>
    <w:p w:rsidR="007335FD" w:rsidRDefault="007335FD">
      <w:pPr>
        <w:pStyle w:val="ListParagraph"/>
        <w:spacing w:line="360" w:lineRule="auto"/>
        <w:jc w:val="both"/>
        <w:rPr>
          <w:rFonts w:ascii="Aparajita" w:eastAsia="Batang" w:hAnsi="Aparajita" w:cs="Aparajita"/>
          <w:sz w:val="24"/>
          <w:szCs w:val="24"/>
        </w:rPr>
      </w:pPr>
    </w:p>
    <w:p w:rsidR="007335FD" w:rsidRDefault="00815898">
      <w:pPr>
        <w:pStyle w:val="ListParagraph"/>
        <w:spacing w:line="360" w:lineRule="auto"/>
        <w:ind w:firstLine="720"/>
        <w:jc w:val="both"/>
        <w:rPr>
          <w:rFonts w:eastAsia="Batang" w:cs="Aparajita"/>
          <w:sz w:val="24"/>
          <w:szCs w:val="24"/>
        </w:rPr>
      </w:pPr>
      <w:proofErr w:type="gramStart"/>
      <w:r>
        <w:rPr>
          <w:rFonts w:eastAsia="Batang" w:cs="Aparajita"/>
          <w:sz w:val="24"/>
          <w:szCs w:val="24"/>
        </w:rPr>
        <w:t>Capaian  Indikator</w:t>
      </w:r>
      <w:proofErr w:type="gramEnd"/>
      <w:r>
        <w:rPr>
          <w:rFonts w:eastAsia="Batang" w:cs="Aparajita"/>
          <w:sz w:val="24"/>
          <w:szCs w:val="24"/>
        </w:rPr>
        <w:t xml:space="preserve"> Kinerja = </w:t>
      </w:r>
      <w:r>
        <w:rPr>
          <w:rFonts w:eastAsia="Batang" w:cs="Aparajita"/>
          <w:position w:val="-28"/>
          <w:sz w:val="24"/>
          <w:szCs w:val="24"/>
        </w:rPr>
        <w:object w:dxaOrig="1540" w:dyaOrig="680">
          <v:shape id="_x0000_i1030" type="#_x0000_t75" style="width:77.25pt;height:33.75pt" o:ole="">
            <v:imagedata r:id="rId51" o:title=""/>
          </v:shape>
          <o:OLEObject Type="Embed" ProgID="Equation.3" ShapeID="_x0000_i1030" DrawAspect="Content" ObjectID="_1621771245" r:id="rId52"/>
        </w:object>
      </w:r>
      <w:r>
        <w:rPr>
          <w:rFonts w:eastAsia="Batang" w:cs="Aparajita"/>
          <w:sz w:val="24"/>
          <w:szCs w:val="24"/>
        </w:rPr>
        <w:t>= 99,28%</w:t>
      </w:r>
    </w:p>
    <w:p w:rsidR="007335FD" w:rsidRDefault="00815898">
      <w:pPr>
        <w:spacing w:line="360" w:lineRule="auto"/>
        <w:ind w:leftChars="200" w:left="440" w:firstLine="660"/>
        <w:jc w:val="both"/>
        <w:rPr>
          <w:rFonts w:cs="Aparajita"/>
          <w:sz w:val="24"/>
          <w:szCs w:val="24"/>
        </w:rPr>
      </w:pPr>
      <w:r>
        <w:rPr>
          <w:rFonts w:cs="Aparajita"/>
          <w:sz w:val="24"/>
          <w:szCs w:val="24"/>
        </w:rPr>
        <w:t xml:space="preserve">Nilai IDI (Indeks Demokrasi Indonesia) di Sumatera Barat diukur dari penjumlahan beberapa aspek/variable/indikator yang menggambarkan tingkat perkembangan demokrasi di Sumatera Barat, sebagaimana dijelaskan pada tabel </w:t>
      </w:r>
      <w:proofErr w:type="gramStart"/>
      <w:r>
        <w:rPr>
          <w:rFonts w:cs="Aparajita"/>
          <w:sz w:val="24"/>
          <w:szCs w:val="24"/>
        </w:rPr>
        <w:t>berikut :</w:t>
      </w:r>
      <w:proofErr w:type="gramEnd"/>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Tabel 3.21</w:t>
      </w:r>
    </w:p>
    <w:p w:rsidR="007335FD" w:rsidRDefault="00815898">
      <w:pPr>
        <w:spacing w:line="360" w:lineRule="auto"/>
        <w:jc w:val="center"/>
        <w:rPr>
          <w:rFonts w:hAnsi="Book Antiqua" w:cs="Tahoma"/>
          <w:b/>
        </w:rPr>
      </w:pPr>
      <w:r>
        <w:rPr>
          <w:rFonts w:hAnsi="Book Antiqua" w:cs="Tahoma"/>
          <w:b/>
        </w:rPr>
        <w:t>Aspek Aspek Penilaian IDI dan Perbandingan Capaian IDI Tahun 2017 - 2018</w:t>
      </w:r>
    </w:p>
    <w:tbl>
      <w:tblPr>
        <w:tblW w:w="9375" w:type="dxa"/>
        <w:tblLayout w:type="fixed"/>
        <w:tblCellMar>
          <w:left w:w="0" w:type="dxa"/>
          <w:right w:w="0" w:type="dxa"/>
        </w:tblCellMar>
        <w:tblLook w:val="04A0" w:firstRow="1" w:lastRow="0" w:firstColumn="1" w:lastColumn="0" w:noHBand="0" w:noVBand="1"/>
      </w:tblPr>
      <w:tblGrid>
        <w:gridCol w:w="781"/>
        <w:gridCol w:w="6293"/>
        <w:gridCol w:w="1221"/>
        <w:gridCol w:w="1080"/>
      </w:tblGrid>
      <w:tr w:rsidR="007335FD">
        <w:trPr>
          <w:trHeight w:val="348"/>
        </w:trPr>
        <w:tc>
          <w:tcPr>
            <w:tcW w:w="781"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pStyle w:val="NoSpacing"/>
              <w:jc w:val="center"/>
              <w:rPr>
                <w:b/>
                <w:bCs/>
                <w:sz w:val="22"/>
                <w:szCs w:val="22"/>
              </w:rPr>
            </w:pPr>
            <w:r>
              <w:rPr>
                <w:b/>
                <w:bCs/>
                <w:sz w:val="22"/>
                <w:szCs w:val="22"/>
              </w:rPr>
              <w:t>No</w:t>
            </w:r>
          </w:p>
        </w:tc>
        <w:tc>
          <w:tcPr>
            <w:tcW w:w="6293"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pStyle w:val="NoSpacing"/>
              <w:jc w:val="center"/>
              <w:rPr>
                <w:b/>
                <w:bCs/>
                <w:sz w:val="22"/>
                <w:szCs w:val="22"/>
              </w:rPr>
            </w:pPr>
            <w:r>
              <w:rPr>
                <w:b/>
                <w:bCs/>
                <w:sz w:val="22"/>
                <w:szCs w:val="22"/>
              </w:rPr>
              <w:t>Indikator Pada Aspek Kebebasan Sipil</w:t>
            </w:r>
          </w:p>
        </w:tc>
        <w:tc>
          <w:tcPr>
            <w:tcW w:w="1221"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pStyle w:val="NoSpacing"/>
              <w:jc w:val="center"/>
              <w:rPr>
                <w:b/>
                <w:bCs/>
                <w:sz w:val="22"/>
                <w:szCs w:val="22"/>
              </w:rPr>
            </w:pPr>
            <w:r>
              <w:rPr>
                <w:b/>
                <w:bCs/>
                <w:sz w:val="22"/>
                <w:szCs w:val="22"/>
              </w:rPr>
              <w:t>2017</w:t>
            </w:r>
          </w:p>
        </w:tc>
        <w:tc>
          <w:tcPr>
            <w:tcW w:w="1080"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pStyle w:val="NoSpacing"/>
              <w:jc w:val="center"/>
              <w:rPr>
                <w:b/>
                <w:bCs/>
                <w:sz w:val="22"/>
                <w:szCs w:val="22"/>
              </w:rPr>
            </w:pPr>
            <w:r>
              <w:rPr>
                <w:b/>
                <w:bCs/>
                <w:sz w:val="22"/>
                <w:szCs w:val="22"/>
              </w:rPr>
              <w:t>2018</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pPr>
            <w:r>
              <w:lastRenderedPageBreak/>
              <w:t>1.</w:t>
            </w:r>
          </w:p>
        </w:tc>
        <w:tc>
          <w:tcPr>
            <w:tcW w:w="62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rPr>
                <w:sz w:val="22"/>
                <w:szCs w:val="22"/>
                <w:lang w:val="sv-SE"/>
              </w:rPr>
            </w:pPr>
            <w:r>
              <w:rPr>
                <w:sz w:val="22"/>
                <w:szCs w:val="22"/>
                <w:lang w:val="sv-SE"/>
              </w:rPr>
              <w:t>Ancaman kekerasan atau penggunaan kekerasan oleh aparat</w:t>
            </w:r>
          </w:p>
          <w:p w:rsidR="007335FD" w:rsidRDefault="00815898">
            <w:pPr>
              <w:pStyle w:val="NoSpacing"/>
              <w:rPr>
                <w:sz w:val="22"/>
                <w:szCs w:val="22"/>
              </w:rPr>
            </w:pPr>
            <w:r>
              <w:rPr>
                <w:sz w:val="22"/>
                <w:szCs w:val="22"/>
                <w:lang w:val="sv-SE"/>
              </w:rPr>
              <w:t>pemerintah yang menghambat kebebasan berkumpul dan berserikat.</w:t>
            </w:r>
          </w:p>
        </w:tc>
        <w:tc>
          <w:tcPr>
            <w:tcW w:w="122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100,00</w:t>
            </w:r>
          </w:p>
        </w:tc>
        <w:tc>
          <w:tcPr>
            <w:tcW w:w="10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rPr>
                <w:sz w:val="22"/>
                <w:szCs w:val="22"/>
              </w:rPr>
            </w:pPr>
            <w:r>
              <w:rPr>
                <w:sz w:val="22"/>
                <w:szCs w:val="22"/>
                <w:lang w:val="id-ID"/>
              </w:rPr>
              <w:t>100,00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pPr>
            <w:r>
              <w:t>2</w:t>
            </w:r>
          </w:p>
        </w:tc>
        <w:tc>
          <w:tcPr>
            <w:tcW w:w="629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rPr>
                <w:sz w:val="22"/>
                <w:szCs w:val="22"/>
              </w:rPr>
            </w:pPr>
            <w:r>
              <w:rPr>
                <w:sz w:val="22"/>
                <w:szCs w:val="22"/>
              </w:rPr>
              <w:t xml:space="preserve">Ancaman kekerasan atau penggunaan kekerasan oleh masyarakat </w:t>
            </w:r>
          </w:p>
          <w:p w:rsidR="007335FD" w:rsidRDefault="00815898">
            <w:pPr>
              <w:pStyle w:val="NoSpacing"/>
              <w:rPr>
                <w:sz w:val="22"/>
                <w:szCs w:val="22"/>
              </w:rPr>
            </w:pPr>
            <w:proofErr w:type="gramStart"/>
            <w:r>
              <w:rPr>
                <w:sz w:val="22"/>
                <w:szCs w:val="22"/>
              </w:rPr>
              <w:t>yang</w:t>
            </w:r>
            <w:proofErr w:type="gramEnd"/>
            <w:r>
              <w:rPr>
                <w:sz w:val="22"/>
                <w:szCs w:val="22"/>
              </w:rPr>
              <w:t xml:space="preserve"> menghambat kebebasan berkumpul dan berserikat.</w:t>
            </w:r>
          </w:p>
        </w:tc>
        <w:tc>
          <w:tcPr>
            <w:tcW w:w="122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100,00</w:t>
            </w:r>
          </w:p>
        </w:tc>
        <w:tc>
          <w:tcPr>
            <w:tcW w:w="108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rPr>
                <w:sz w:val="22"/>
                <w:szCs w:val="22"/>
              </w:rPr>
            </w:pPr>
            <w:r>
              <w:rPr>
                <w:sz w:val="22"/>
                <w:szCs w:val="22"/>
                <w:lang w:val="id-ID"/>
              </w:rPr>
              <w:t>100,00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pPr>
            <w:r>
              <w:t>3</w:t>
            </w:r>
          </w:p>
        </w:tc>
        <w:tc>
          <w:tcPr>
            <w:tcW w:w="62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rPr>
                <w:sz w:val="22"/>
                <w:szCs w:val="22"/>
              </w:rPr>
            </w:pPr>
            <w:r>
              <w:rPr>
                <w:sz w:val="22"/>
                <w:szCs w:val="22"/>
              </w:rPr>
              <w:t xml:space="preserve">Ancaman kekerasan atau penggunaan kekerasan oleh aparat </w:t>
            </w:r>
          </w:p>
          <w:p w:rsidR="007335FD" w:rsidRDefault="00815898">
            <w:pPr>
              <w:pStyle w:val="NoSpacing"/>
              <w:rPr>
                <w:sz w:val="22"/>
                <w:szCs w:val="22"/>
              </w:rPr>
            </w:pPr>
            <w:r>
              <w:rPr>
                <w:sz w:val="22"/>
                <w:szCs w:val="22"/>
              </w:rPr>
              <w:t xml:space="preserve">pemerintah yang menghambat kebebasan berpendapat </w:t>
            </w:r>
          </w:p>
        </w:tc>
        <w:tc>
          <w:tcPr>
            <w:tcW w:w="122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83,33</w:t>
            </w:r>
          </w:p>
        </w:tc>
        <w:tc>
          <w:tcPr>
            <w:tcW w:w="10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rPr>
                <w:sz w:val="22"/>
                <w:szCs w:val="22"/>
              </w:rPr>
            </w:pPr>
            <w:r>
              <w:rPr>
                <w:sz w:val="22"/>
                <w:szCs w:val="22"/>
                <w:lang w:val="id-ID"/>
              </w:rPr>
              <w:t>87,50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pPr>
            <w:r>
              <w:t>4</w:t>
            </w:r>
          </w:p>
        </w:tc>
        <w:tc>
          <w:tcPr>
            <w:tcW w:w="629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rPr>
                <w:sz w:val="22"/>
                <w:szCs w:val="22"/>
              </w:rPr>
            </w:pPr>
            <w:r>
              <w:rPr>
                <w:sz w:val="22"/>
                <w:szCs w:val="22"/>
              </w:rPr>
              <w:t xml:space="preserve">Ancaman kekerasan atau penggunaan kekerasan oleh masyarakat </w:t>
            </w:r>
          </w:p>
          <w:p w:rsidR="007335FD" w:rsidRDefault="00815898">
            <w:pPr>
              <w:pStyle w:val="NoSpacing"/>
              <w:rPr>
                <w:sz w:val="22"/>
                <w:szCs w:val="22"/>
              </w:rPr>
            </w:pPr>
            <w:r>
              <w:rPr>
                <w:sz w:val="22"/>
                <w:szCs w:val="22"/>
              </w:rPr>
              <w:t xml:space="preserve">yang menghambat kebebasan berpendapat </w:t>
            </w:r>
          </w:p>
        </w:tc>
        <w:tc>
          <w:tcPr>
            <w:tcW w:w="122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100,00</w:t>
            </w:r>
          </w:p>
        </w:tc>
        <w:tc>
          <w:tcPr>
            <w:tcW w:w="108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rPr>
                <w:sz w:val="22"/>
                <w:szCs w:val="22"/>
              </w:rPr>
            </w:pPr>
            <w:r>
              <w:rPr>
                <w:sz w:val="22"/>
                <w:szCs w:val="22"/>
                <w:lang w:val="id-ID"/>
              </w:rPr>
              <w:t>62,50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pPr>
            <w:r>
              <w:t>5</w:t>
            </w:r>
          </w:p>
        </w:tc>
        <w:tc>
          <w:tcPr>
            <w:tcW w:w="62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rPr>
                <w:sz w:val="22"/>
                <w:szCs w:val="22"/>
              </w:rPr>
            </w:pPr>
            <w:r>
              <w:rPr>
                <w:sz w:val="22"/>
                <w:szCs w:val="22"/>
              </w:rPr>
              <w:t xml:space="preserve">Aturan tertulis yang membatasi kebebasan atau mengharuskan </w:t>
            </w:r>
          </w:p>
          <w:p w:rsidR="007335FD" w:rsidRDefault="00815898">
            <w:pPr>
              <w:pStyle w:val="NoSpacing"/>
              <w:rPr>
                <w:sz w:val="22"/>
                <w:szCs w:val="22"/>
              </w:rPr>
            </w:pPr>
            <w:r>
              <w:rPr>
                <w:sz w:val="22"/>
                <w:szCs w:val="22"/>
              </w:rPr>
              <w:t xml:space="preserve">masyarakat dalam  menjalankan agamanya </w:t>
            </w:r>
          </w:p>
        </w:tc>
        <w:tc>
          <w:tcPr>
            <w:tcW w:w="122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8,70</w:t>
            </w:r>
          </w:p>
        </w:tc>
        <w:tc>
          <w:tcPr>
            <w:tcW w:w="10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rPr>
                <w:sz w:val="22"/>
                <w:szCs w:val="22"/>
              </w:rPr>
            </w:pPr>
            <w:r>
              <w:rPr>
                <w:sz w:val="22"/>
                <w:szCs w:val="22"/>
                <w:lang w:val="id-ID"/>
              </w:rPr>
              <w:t>13,04</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pPr>
            <w:r>
              <w:t>6</w:t>
            </w:r>
          </w:p>
        </w:tc>
        <w:tc>
          <w:tcPr>
            <w:tcW w:w="629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rPr>
                <w:sz w:val="22"/>
                <w:szCs w:val="22"/>
              </w:rPr>
            </w:pPr>
            <w:r>
              <w:rPr>
                <w:sz w:val="22"/>
                <w:szCs w:val="22"/>
              </w:rPr>
              <w:t xml:space="preserve">Tindakan atau pernyataan pejabat Pemerintah yang membatasi </w:t>
            </w:r>
          </w:p>
          <w:p w:rsidR="007335FD" w:rsidRDefault="00815898">
            <w:pPr>
              <w:pStyle w:val="NoSpacing"/>
              <w:rPr>
                <w:sz w:val="22"/>
                <w:szCs w:val="22"/>
              </w:rPr>
            </w:pPr>
            <w:r>
              <w:rPr>
                <w:sz w:val="22"/>
                <w:szCs w:val="22"/>
              </w:rPr>
              <w:t xml:space="preserve">kebebasan atau mengharuskan masyarakat menjalankan ajaran agamanya </w:t>
            </w:r>
          </w:p>
        </w:tc>
        <w:tc>
          <w:tcPr>
            <w:tcW w:w="122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62,50</w:t>
            </w:r>
          </w:p>
        </w:tc>
        <w:tc>
          <w:tcPr>
            <w:tcW w:w="108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rPr>
                <w:sz w:val="22"/>
                <w:szCs w:val="22"/>
              </w:rPr>
            </w:pPr>
            <w:r>
              <w:rPr>
                <w:sz w:val="22"/>
                <w:szCs w:val="22"/>
                <w:lang w:val="id-ID"/>
              </w:rPr>
              <w:t>100,00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pPr>
            <w:r>
              <w:t>7</w:t>
            </w:r>
          </w:p>
        </w:tc>
        <w:tc>
          <w:tcPr>
            <w:tcW w:w="62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rPr>
                <w:sz w:val="22"/>
                <w:szCs w:val="22"/>
              </w:rPr>
            </w:pPr>
            <w:r>
              <w:rPr>
                <w:sz w:val="22"/>
                <w:szCs w:val="22"/>
              </w:rPr>
              <w:t>Ancaman kekerasan atau penggunaan kekerasan dari satu</w:t>
            </w:r>
          </w:p>
          <w:p w:rsidR="007335FD" w:rsidRDefault="00815898">
            <w:pPr>
              <w:pStyle w:val="NoSpacing"/>
              <w:rPr>
                <w:sz w:val="22"/>
                <w:szCs w:val="22"/>
              </w:rPr>
            </w:pPr>
            <w:r>
              <w:rPr>
                <w:sz w:val="22"/>
                <w:szCs w:val="22"/>
              </w:rPr>
              <w:t xml:space="preserve"> kelompok masyarakat terhadap kelompok masyarakat lain terkait</w:t>
            </w:r>
          </w:p>
          <w:p w:rsidR="007335FD" w:rsidRDefault="00815898">
            <w:pPr>
              <w:pStyle w:val="NoSpacing"/>
              <w:rPr>
                <w:sz w:val="22"/>
                <w:szCs w:val="22"/>
              </w:rPr>
            </w:pPr>
            <w:r>
              <w:rPr>
                <w:sz w:val="22"/>
                <w:szCs w:val="22"/>
              </w:rPr>
              <w:t xml:space="preserve"> dengan ajaran agama </w:t>
            </w:r>
          </w:p>
        </w:tc>
        <w:tc>
          <w:tcPr>
            <w:tcW w:w="122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100,00</w:t>
            </w:r>
          </w:p>
        </w:tc>
        <w:tc>
          <w:tcPr>
            <w:tcW w:w="10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rPr>
                <w:sz w:val="22"/>
                <w:szCs w:val="22"/>
              </w:rPr>
            </w:pPr>
            <w:r>
              <w:rPr>
                <w:sz w:val="22"/>
                <w:szCs w:val="22"/>
                <w:lang w:val="id-ID"/>
              </w:rPr>
              <w:t>100,00</w:t>
            </w:r>
          </w:p>
        </w:tc>
      </w:tr>
      <w:tr w:rsidR="007335FD">
        <w:trPr>
          <w:trHeight w:val="590"/>
        </w:trPr>
        <w:tc>
          <w:tcPr>
            <w:tcW w:w="78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pPr>
            <w:r>
              <w:t>8</w:t>
            </w:r>
          </w:p>
        </w:tc>
        <w:tc>
          <w:tcPr>
            <w:tcW w:w="629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rPr>
                <w:sz w:val="22"/>
                <w:szCs w:val="22"/>
              </w:rPr>
            </w:pPr>
            <w:r>
              <w:rPr>
                <w:sz w:val="22"/>
                <w:szCs w:val="22"/>
              </w:rPr>
              <w:t xml:space="preserve">Aturan tertulis yang diskriminatif dalam hal gender, etnis atau </w:t>
            </w:r>
          </w:p>
          <w:p w:rsidR="007335FD" w:rsidRDefault="00815898">
            <w:pPr>
              <w:pStyle w:val="NoSpacing"/>
              <w:rPr>
                <w:sz w:val="22"/>
                <w:szCs w:val="22"/>
              </w:rPr>
            </w:pPr>
            <w:r>
              <w:rPr>
                <w:sz w:val="22"/>
                <w:szCs w:val="22"/>
              </w:rPr>
              <w:t xml:space="preserve">terhadap kelompok rentan lainnya </w:t>
            </w:r>
          </w:p>
        </w:tc>
        <w:tc>
          <w:tcPr>
            <w:tcW w:w="122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83,33</w:t>
            </w:r>
          </w:p>
        </w:tc>
        <w:tc>
          <w:tcPr>
            <w:tcW w:w="108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rPr>
                <w:sz w:val="22"/>
                <w:szCs w:val="22"/>
              </w:rPr>
            </w:pPr>
            <w:r>
              <w:rPr>
                <w:sz w:val="22"/>
                <w:szCs w:val="22"/>
                <w:lang w:val="id-ID"/>
              </w:rPr>
              <w:t>100,00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pPr>
            <w:r>
              <w:t>9</w:t>
            </w:r>
          </w:p>
        </w:tc>
        <w:tc>
          <w:tcPr>
            <w:tcW w:w="62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rPr>
                <w:sz w:val="22"/>
                <w:szCs w:val="22"/>
              </w:rPr>
            </w:pPr>
            <w:r>
              <w:rPr>
                <w:sz w:val="22"/>
                <w:szCs w:val="22"/>
              </w:rPr>
              <w:t>Tindakan atau pernyataan pejabat pemerintah daerah yang</w:t>
            </w:r>
          </w:p>
          <w:p w:rsidR="007335FD" w:rsidRDefault="00815898">
            <w:pPr>
              <w:pStyle w:val="NoSpacing"/>
              <w:rPr>
                <w:sz w:val="22"/>
                <w:szCs w:val="22"/>
              </w:rPr>
            </w:pPr>
            <w:r>
              <w:rPr>
                <w:sz w:val="22"/>
                <w:szCs w:val="22"/>
              </w:rPr>
              <w:t xml:space="preserve"> diskriminatif dalam hal gender, etnis atau terhadap kelompok rentan lainnya </w:t>
            </w:r>
          </w:p>
        </w:tc>
        <w:tc>
          <w:tcPr>
            <w:tcW w:w="122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100,00</w:t>
            </w:r>
          </w:p>
        </w:tc>
        <w:tc>
          <w:tcPr>
            <w:tcW w:w="10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pStyle w:val="NoSpacing"/>
              <w:jc w:val="center"/>
              <w:rPr>
                <w:sz w:val="22"/>
                <w:szCs w:val="22"/>
              </w:rPr>
            </w:pPr>
            <w:r>
              <w:rPr>
                <w:sz w:val="22"/>
                <w:szCs w:val="22"/>
                <w:lang w:val="id-ID"/>
              </w:rPr>
              <w:t>87,50</w:t>
            </w:r>
          </w:p>
        </w:tc>
      </w:tr>
      <w:tr w:rsidR="007335FD">
        <w:trPr>
          <w:trHeight w:val="622"/>
        </w:trPr>
        <w:tc>
          <w:tcPr>
            <w:tcW w:w="78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pPr>
            <w:r>
              <w:t>10</w:t>
            </w:r>
          </w:p>
        </w:tc>
        <w:tc>
          <w:tcPr>
            <w:tcW w:w="629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rPr>
                <w:sz w:val="22"/>
                <w:szCs w:val="22"/>
              </w:rPr>
            </w:pPr>
            <w:r>
              <w:rPr>
                <w:sz w:val="22"/>
                <w:szCs w:val="22"/>
              </w:rPr>
              <w:t xml:space="preserve">Ancaman kekerasan atau penggunaan kekerasan oleh masyarakat </w:t>
            </w:r>
          </w:p>
          <w:p w:rsidR="007335FD" w:rsidRDefault="00815898">
            <w:pPr>
              <w:pStyle w:val="NoSpacing"/>
              <w:rPr>
                <w:sz w:val="22"/>
                <w:szCs w:val="22"/>
              </w:rPr>
            </w:pPr>
            <w:r>
              <w:rPr>
                <w:sz w:val="22"/>
                <w:szCs w:val="22"/>
              </w:rPr>
              <w:t xml:space="preserve">karena alasan gender, etnis atau terhadap kelompok rentan lainnya </w:t>
            </w:r>
          </w:p>
          <w:p w:rsidR="007335FD" w:rsidRDefault="007335FD">
            <w:pPr>
              <w:pStyle w:val="NoSpacing"/>
              <w:rPr>
                <w:sz w:val="22"/>
                <w:szCs w:val="22"/>
              </w:rPr>
            </w:pPr>
          </w:p>
        </w:tc>
        <w:tc>
          <w:tcPr>
            <w:tcW w:w="122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05" w:type="dxa"/>
            </w:tcMar>
          </w:tcPr>
          <w:p w:rsidR="007335FD" w:rsidRDefault="00815898">
            <w:pPr>
              <w:pStyle w:val="NoSpacing"/>
              <w:ind w:rightChars="-193" w:right="-425"/>
              <w:jc w:val="center"/>
              <w:rPr>
                <w:sz w:val="22"/>
                <w:szCs w:val="22"/>
              </w:rPr>
            </w:pPr>
            <w:r>
              <w:rPr>
                <w:sz w:val="22"/>
                <w:szCs w:val="22"/>
                <w:lang w:val="id-ID"/>
              </w:rPr>
              <w:t>25,00</w:t>
            </w:r>
          </w:p>
        </w:tc>
        <w:tc>
          <w:tcPr>
            <w:tcW w:w="108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pStyle w:val="NoSpacing"/>
              <w:jc w:val="center"/>
              <w:rPr>
                <w:sz w:val="22"/>
                <w:szCs w:val="22"/>
              </w:rPr>
            </w:pPr>
            <w:r>
              <w:rPr>
                <w:sz w:val="22"/>
                <w:szCs w:val="22"/>
                <w:lang w:val="id-ID"/>
              </w:rPr>
              <w:t>100,00</w:t>
            </w:r>
          </w:p>
        </w:tc>
      </w:tr>
    </w:tbl>
    <w:p w:rsidR="007335FD" w:rsidRDefault="007335FD">
      <w:pPr>
        <w:spacing w:line="360" w:lineRule="auto"/>
        <w:jc w:val="both"/>
        <w:rPr>
          <w:rFonts w:hAnsi="Book Antiqua" w:cs="Tahoma"/>
        </w:rPr>
      </w:pPr>
    </w:p>
    <w:tbl>
      <w:tblPr>
        <w:tblW w:w="9375" w:type="dxa"/>
        <w:tblLayout w:type="fixed"/>
        <w:tblCellMar>
          <w:left w:w="0" w:type="dxa"/>
          <w:right w:w="0" w:type="dxa"/>
        </w:tblCellMar>
        <w:tblLook w:val="04A0" w:firstRow="1" w:lastRow="0" w:firstColumn="1" w:lastColumn="0" w:noHBand="0" w:noVBand="1"/>
      </w:tblPr>
      <w:tblGrid>
        <w:gridCol w:w="718"/>
        <w:gridCol w:w="6471"/>
        <w:gridCol w:w="1107"/>
        <w:gridCol w:w="1079"/>
      </w:tblGrid>
      <w:tr w:rsidR="007335FD">
        <w:trPr>
          <w:trHeight w:val="815"/>
        </w:trPr>
        <w:tc>
          <w:tcPr>
            <w:tcW w:w="718"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jc w:val="center"/>
              <w:rPr>
                <w:b/>
              </w:rPr>
            </w:pPr>
            <w:r>
              <w:rPr>
                <w:b/>
              </w:rPr>
              <w:t>No</w:t>
            </w:r>
          </w:p>
        </w:tc>
        <w:tc>
          <w:tcPr>
            <w:tcW w:w="6471"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jc w:val="center"/>
              <w:rPr>
                <w:b/>
              </w:rPr>
            </w:pPr>
            <w:r>
              <w:rPr>
                <w:b/>
              </w:rPr>
              <w:t>Indikator</w:t>
            </w:r>
            <w:r>
              <w:rPr>
                <w:b/>
                <w:bCs/>
              </w:rPr>
              <w:t xml:space="preserve"> pada Aspek Hak Hak Politik</w:t>
            </w:r>
          </w:p>
        </w:tc>
        <w:tc>
          <w:tcPr>
            <w:tcW w:w="1107"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jc w:val="center"/>
              <w:rPr>
                <w:b/>
              </w:rPr>
            </w:pPr>
            <w:r>
              <w:rPr>
                <w:b/>
              </w:rPr>
              <w:t>201</w:t>
            </w:r>
            <w:r>
              <w:rPr>
                <w:b/>
                <w:lang w:val="id-ID"/>
              </w:rPr>
              <w:t>6</w:t>
            </w:r>
          </w:p>
        </w:tc>
        <w:tc>
          <w:tcPr>
            <w:tcW w:w="1079"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tcPr>
          <w:p w:rsidR="007335FD" w:rsidRDefault="00815898">
            <w:pPr>
              <w:jc w:val="center"/>
              <w:rPr>
                <w:b/>
              </w:rPr>
            </w:pPr>
            <w:r>
              <w:rPr>
                <w:b/>
              </w:rPr>
              <w:t>201</w:t>
            </w:r>
            <w:r>
              <w:rPr>
                <w:b/>
                <w:lang w:val="id-ID"/>
              </w:rPr>
              <w:t>7</w:t>
            </w:r>
          </w:p>
        </w:tc>
      </w:tr>
      <w:tr w:rsidR="007335FD">
        <w:trPr>
          <w:trHeight w:val="639"/>
        </w:trPr>
        <w:tc>
          <w:tcPr>
            <w:tcW w:w="71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1</w:t>
            </w:r>
          </w:p>
        </w:tc>
        <w:tc>
          <w:tcPr>
            <w:tcW w:w="647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Kejadian di mana hak memilih atau dipilih masyarakat terhambat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vAlign w:val="center"/>
          </w:tcPr>
          <w:p w:rsidR="007335FD" w:rsidRDefault="00815898">
            <w:pPr>
              <w:ind w:right="-431"/>
              <w:jc w:val="center"/>
            </w:pPr>
            <w:r>
              <w:t>100,00</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100</w:t>
            </w:r>
            <w:r>
              <w:rPr>
                <w:lang w:val="id-ID"/>
              </w:rPr>
              <w:t>,</w:t>
            </w:r>
            <w:r>
              <w:t>00</w:t>
            </w:r>
          </w:p>
        </w:tc>
      </w:tr>
      <w:tr w:rsidR="007335FD">
        <w:trPr>
          <w:trHeight w:val="879"/>
        </w:trPr>
        <w:tc>
          <w:tcPr>
            <w:tcW w:w="718"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2</w:t>
            </w:r>
          </w:p>
        </w:tc>
        <w:tc>
          <w:tcPr>
            <w:tcW w:w="647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 xml:space="preserve">Kejadian yang menunjukkan ketiadaan/kekurangan fasilitas sehingga kelompok penyandang cacat tidak dapat menggunakan hak memilih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60,00</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t>60</w:t>
            </w:r>
            <w:r>
              <w:rPr>
                <w:lang w:val="id-ID"/>
              </w:rPr>
              <w:t>,</w:t>
            </w:r>
            <w:r>
              <w:t>00</w:t>
            </w:r>
          </w:p>
        </w:tc>
      </w:tr>
      <w:tr w:rsidR="007335FD">
        <w:trPr>
          <w:trHeight w:val="639"/>
        </w:trPr>
        <w:tc>
          <w:tcPr>
            <w:tcW w:w="71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3</w:t>
            </w:r>
          </w:p>
        </w:tc>
        <w:tc>
          <w:tcPr>
            <w:tcW w:w="647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Kualitas daftar pemilih tetap (DPT)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t>76</w:t>
            </w:r>
            <w:r>
              <w:rPr>
                <w:lang w:val="id-ID"/>
              </w:rPr>
              <w:t>,</w:t>
            </w:r>
            <w:r>
              <w:t>31</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t>76</w:t>
            </w:r>
            <w:r>
              <w:rPr>
                <w:lang w:val="id-ID"/>
              </w:rPr>
              <w:t>,</w:t>
            </w:r>
            <w:r>
              <w:t>31</w:t>
            </w:r>
          </w:p>
        </w:tc>
      </w:tr>
      <w:tr w:rsidR="007335FD">
        <w:trPr>
          <w:trHeight w:val="879"/>
        </w:trPr>
        <w:tc>
          <w:tcPr>
            <w:tcW w:w="718"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4</w:t>
            </w:r>
          </w:p>
        </w:tc>
        <w:tc>
          <w:tcPr>
            <w:tcW w:w="647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Persentase penduduk yang menggunakan hak pilih dibandingkan dengan yang memiliki hak untuk memilih dalam pemilu (</w:t>
            </w:r>
            <w:r>
              <w:rPr>
                <w:i/>
              </w:rPr>
              <w:t>voters turn out</w:t>
            </w:r>
            <w:r>
              <w:t xml:space="preserve">)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68</w:t>
            </w:r>
            <w:r>
              <w:rPr>
                <w:lang w:val="id-ID"/>
              </w:rPr>
              <w:t>,</w:t>
            </w:r>
            <w:r>
              <w:t>43</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t>68</w:t>
            </w:r>
            <w:r>
              <w:rPr>
                <w:lang w:val="id-ID"/>
              </w:rPr>
              <w:t>,</w:t>
            </w:r>
            <w:r>
              <w:t>43</w:t>
            </w:r>
          </w:p>
        </w:tc>
      </w:tr>
      <w:tr w:rsidR="007335FD">
        <w:trPr>
          <w:trHeight w:val="639"/>
        </w:trPr>
        <w:tc>
          <w:tcPr>
            <w:tcW w:w="71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5</w:t>
            </w:r>
          </w:p>
        </w:tc>
        <w:tc>
          <w:tcPr>
            <w:tcW w:w="647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rPr>
                <w:lang w:val="it-IT"/>
              </w:rPr>
              <w:t xml:space="preserve">Persentase anggota perempuan DPRD provinsi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t>35</w:t>
            </w:r>
            <w:r>
              <w:rPr>
                <w:lang w:val="id-ID"/>
              </w:rPr>
              <w:t>,</w:t>
            </w:r>
            <w:r>
              <w:t>90</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t>35</w:t>
            </w:r>
            <w:r>
              <w:rPr>
                <w:lang w:val="id-ID"/>
              </w:rPr>
              <w:t>,</w:t>
            </w:r>
            <w:r>
              <w:t>90</w:t>
            </w:r>
          </w:p>
        </w:tc>
      </w:tr>
      <w:tr w:rsidR="007335FD">
        <w:trPr>
          <w:trHeight w:val="639"/>
        </w:trPr>
        <w:tc>
          <w:tcPr>
            <w:tcW w:w="718"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6</w:t>
            </w:r>
          </w:p>
        </w:tc>
        <w:tc>
          <w:tcPr>
            <w:tcW w:w="6471"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 xml:space="preserve">Demonstrasi/mogok yang bersifat kekerasan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22,83</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rPr>
                <w:lang w:val="id-ID"/>
              </w:rPr>
              <w:t>45,65</w:t>
            </w:r>
          </w:p>
        </w:tc>
      </w:tr>
      <w:tr w:rsidR="007335FD">
        <w:trPr>
          <w:trHeight w:val="639"/>
        </w:trPr>
        <w:tc>
          <w:tcPr>
            <w:tcW w:w="71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lastRenderedPageBreak/>
              <w:t>7</w:t>
            </w:r>
          </w:p>
        </w:tc>
        <w:tc>
          <w:tcPr>
            <w:tcW w:w="647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Pengaduan masyarakat mengenai penyelenggaraan pemerintahan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t>46,24</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rPr>
                <w:lang w:val="id-ID"/>
              </w:rPr>
              <w:t>50,41</w:t>
            </w:r>
          </w:p>
        </w:tc>
      </w:tr>
    </w:tbl>
    <w:p w:rsidR="007335FD" w:rsidRDefault="007335FD">
      <w:pPr>
        <w:spacing w:line="360" w:lineRule="auto"/>
        <w:jc w:val="both"/>
        <w:rPr>
          <w:rFonts w:hAnsi="Book Antiqua" w:cs="Tahoma"/>
        </w:rPr>
      </w:pPr>
    </w:p>
    <w:tbl>
      <w:tblPr>
        <w:tblW w:w="9375" w:type="dxa"/>
        <w:tblLayout w:type="fixed"/>
        <w:tblCellMar>
          <w:left w:w="0" w:type="dxa"/>
          <w:right w:w="0" w:type="dxa"/>
        </w:tblCellMar>
        <w:tblLook w:val="04A0" w:firstRow="1" w:lastRow="0" w:firstColumn="1" w:lastColumn="0" w:noHBand="0" w:noVBand="1"/>
      </w:tblPr>
      <w:tblGrid>
        <w:gridCol w:w="939"/>
        <w:gridCol w:w="6250"/>
        <w:gridCol w:w="1107"/>
        <w:gridCol w:w="1079"/>
      </w:tblGrid>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bottom"/>
          </w:tcPr>
          <w:p w:rsidR="007335FD" w:rsidRDefault="00815898">
            <w:pPr>
              <w:jc w:val="center"/>
              <w:rPr>
                <w:b/>
              </w:rPr>
            </w:pPr>
            <w:r>
              <w:rPr>
                <w:b/>
              </w:rPr>
              <w:t>No</w:t>
            </w:r>
          </w:p>
        </w:tc>
        <w:tc>
          <w:tcPr>
            <w:tcW w:w="6250"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bottom"/>
          </w:tcPr>
          <w:p w:rsidR="007335FD" w:rsidRDefault="00815898">
            <w:pPr>
              <w:jc w:val="center"/>
              <w:rPr>
                <w:b/>
              </w:rPr>
            </w:pPr>
            <w:r>
              <w:rPr>
                <w:b/>
              </w:rPr>
              <w:t>Indikator Pada Aspek Lembaga Demokrasi</w:t>
            </w:r>
          </w:p>
        </w:tc>
        <w:tc>
          <w:tcPr>
            <w:tcW w:w="1107"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44" w:type="dxa"/>
            </w:tcMar>
            <w:vAlign w:val="bottom"/>
          </w:tcPr>
          <w:p w:rsidR="007335FD" w:rsidRDefault="00815898">
            <w:pPr>
              <w:jc w:val="center"/>
              <w:rPr>
                <w:b/>
              </w:rPr>
            </w:pPr>
            <w:r>
              <w:rPr>
                <w:b/>
              </w:rPr>
              <w:t>201</w:t>
            </w:r>
            <w:r>
              <w:rPr>
                <w:b/>
                <w:lang w:val="id-ID"/>
              </w:rPr>
              <w:t>6</w:t>
            </w:r>
          </w:p>
        </w:tc>
        <w:tc>
          <w:tcPr>
            <w:tcW w:w="1079" w:type="dxa"/>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tcPr>
          <w:p w:rsidR="007335FD" w:rsidRDefault="00815898">
            <w:pPr>
              <w:jc w:val="center"/>
              <w:rPr>
                <w:b/>
              </w:rPr>
            </w:pPr>
            <w:r>
              <w:rPr>
                <w:b/>
              </w:rPr>
              <w:t>201</w:t>
            </w:r>
            <w:r>
              <w:rPr>
                <w:b/>
                <w:lang w:val="id-ID"/>
              </w:rPr>
              <w:t>7</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1</w:t>
            </w:r>
          </w:p>
        </w:tc>
        <w:tc>
          <w:tcPr>
            <w:tcW w:w="6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Kejadian yang menunjukkan keberpihakan KPUD dalam penyelenggaraan pemilu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t>100</w:t>
            </w:r>
            <w:r>
              <w:rPr>
                <w:lang w:val="id-ID"/>
              </w:rPr>
              <w:t>,</w:t>
            </w:r>
            <w:r>
              <w:t>00</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rPr>
                <w:lang w:val="id-ID"/>
              </w:rPr>
              <w:t>100,00</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2</w:t>
            </w:r>
          </w:p>
        </w:tc>
        <w:tc>
          <w:tcPr>
            <w:tcW w:w="625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rPr>
                <w:lang w:val="sv-SE"/>
              </w:rPr>
              <w:t xml:space="preserve">Kejadian atau pelaporan tentang kecurangan dalam penghitungan suara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100</w:t>
            </w:r>
            <w:r>
              <w:rPr>
                <w:lang w:val="id-ID"/>
              </w:rPr>
              <w:t>,</w:t>
            </w:r>
            <w:r>
              <w:t>00</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rPr>
                <w:lang w:val="id-ID"/>
              </w:rPr>
              <w:t>100,00</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3</w:t>
            </w:r>
          </w:p>
        </w:tc>
        <w:tc>
          <w:tcPr>
            <w:tcW w:w="6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Skor alokasi anggaran pendidikan dan kesehatan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rPr>
                <w:lang w:val="id-ID"/>
              </w:rPr>
              <w:t>64,0</w:t>
            </w:r>
            <w:r>
              <w:t>2</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rPr>
                <w:lang w:val="id-ID"/>
              </w:rPr>
              <w:t>100,00</w:t>
            </w:r>
          </w:p>
        </w:tc>
      </w:tr>
      <w:tr w:rsidR="007335FD">
        <w:trPr>
          <w:trHeight w:val="846"/>
        </w:trPr>
        <w:tc>
          <w:tcPr>
            <w:tcW w:w="93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4</w:t>
            </w:r>
          </w:p>
        </w:tc>
        <w:tc>
          <w:tcPr>
            <w:tcW w:w="625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 xml:space="preserve">Persentase jumlah perda yang berasal dari hak inisiatif DPRD terhadap jumlah total perda yang dihasilkan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0</w:t>
            </w:r>
            <w:r>
              <w:rPr>
                <w:lang w:val="id-ID"/>
              </w:rPr>
              <w:t>,</w:t>
            </w:r>
            <w:r>
              <w:t>00</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rPr>
                <w:lang w:val="id-ID"/>
              </w:rPr>
              <w:t>30,77</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5</w:t>
            </w:r>
          </w:p>
        </w:tc>
        <w:tc>
          <w:tcPr>
            <w:tcW w:w="6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Rekomendasi DPRD kepada eksekutif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t>7</w:t>
            </w:r>
            <w:r>
              <w:rPr>
                <w:lang w:val="id-ID"/>
              </w:rPr>
              <w:t>,</w:t>
            </w:r>
            <w:r>
              <w:t>14</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rPr>
                <w:lang w:val="id-ID"/>
              </w:rPr>
              <w:t>3,57</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6</w:t>
            </w:r>
          </w:p>
        </w:tc>
        <w:tc>
          <w:tcPr>
            <w:tcW w:w="625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 xml:space="preserve">Kegiatan kaderisasi yang dilakukan parpol peserta pemilu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14</w:t>
            </w:r>
            <w:r>
              <w:rPr>
                <w:lang w:val="id-ID"/>
              </w:rPr>
              <w:t>,</w:t>
            </w:r>
            <w:r>
              <w:t>29</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rPr>
                <w:lang w:val="id-ID"/>
              </w:rPr>
              <w:t>100,00</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7</w:t>
            </w:r>
          </w:p>
        </w:tc>
        <w:tc>
          <w:tcPr>
            <w:tcW w:w="6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Persentase perempuan dalam kepengurusan parpol tingkat provinsi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tcPr>
          <w:p w:rsidR="007335FD" w:rsidRDefault="00815898">
            <w:pPr>
              <w:ind w:right="-431"/>
              <w:jc w:val="center"/>
            </w:pPr>
            <w:r>
              <w:t>99</w:t>
            </w:r>
            <w:r>
              <w:rPr>
                <w:lang w:val="id-ID"/>
              </w:rPr>
              <w:t>,</w:t>
            </w:r>
            <w:r>
              <w:t>22</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tcPr>
          <w:p w:rsidR="007335FD" w:rsidRDefault="00815898">
            <w:pPr>
              <w:jc w:val="center"/>
            </w:pPr>
            <w:r>
              <w:rPr>
                <w:lang w:val="id-ID"/>
              </w:rPr>
              <w:t>100,00</w:t>
            </w:r>
          </w:p>
        </w:tc>
      </w:tr>
      <w:tr w:rsidR="007335FD">
        <w:trPr>
          <w:trHeight w:val="732"/>
        </w:trPr>
        <w:tc>
          <w:tcPr>
            <w:tcW w:w="93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8</w:t>
            </w:r>
          </w:p>
        </w:tc>
        <w:tc>
          <w:tcPr>
            <w:tcW w:w="625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 xml:space="preserve">Jumlah kebijakan pejabat pemerintah daerah yang dinyatakan bersalah oleh keputusan PTUN </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tcPr>
          <w:p w:rsidR="007335FD" w:rsidRDefault="00815898">
            <w:pPr>
              <w:ind w:right="-431"/>
              <w:jc w:val="center"/>
            </w:pPr>
            <w:r>
              <w:t>65</w:t>
            </w:r>
            <w:r>
              <w:rPr>
                <w:lang w:val="id-ID"/>
              </w:rPr>
              <w:t>,</w:t>
            </w:r>
            <w:r>
              <w:t>79</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tcPr>
          <w:p w:rsidR="007335FD" w:rsidRDefault="00815898">
            <w:pPr>
              <w:jc w:val="center"/>
            </w:pPr>
            <w:r>
              <w:rPr>
                <w:lang w:val="id-ID"/>
              </w:rPr>
              <w:t>84,21</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9</w:t>
            </w:r>
          </w:p>
        </w:tc>
        <w:tc>
          <w:tcPr>
            <w:tcW w:w="6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Upaya penyediaan informasi APBD oleh pemerintah daerah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vAlign w:val="center"/>
          </w:tcPr>
          <w:p w:rsidR="007335FD" w:rsidRDefault="00815898">
            <w:pPr>
              <w:ind w:right="-431"/>
              <w:jc w:val="center"/>
            </w:pPr>
            <w:r>
              <w:t>8</w:t>
            </w:r>
            <w:r>
              <w:rPr>
                <w:lang w:val="id-ID"/>
              </w:rPr>
              <w:t>,</w:t>
            </w:r>
            <w:r>
              <w:t>33</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ind w:right="-15"/>
              <w:jc w:val="center"/>
            </w:pPr>
            <w:r>
              <w:rPr>
                <w:lang w:val="id-ID"/>
              </w:rPr>
              <w:t>100,00</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jc w:val="center"/>
            </w:pPr>
            <w:r>
              <w:t>10</w:t>
            </w:r>
          </w:p>
        </w:tc>
        <w:tc>
          <w:tcPr>
            <w:tcW w:w="6250"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r>
              <w:t>Keputusan hakim yang controversial</w:t>
            </w:r>
          </w:p>
        </w:tc>
        <w:tc>
          <w:tcPr>
            <w:tcW w:w="1107"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432" w:type="dxa"/>
            </w:tcMar>
            <w:vAlign w:val="center"/>
          </w:tcPr>
          <w:p w:rsidR="007335FD" w:rsidRDefault="00815898">
            <w:pPr>
              <w:ind w:right="-431"/>
              <w:jc w:val="center"/>
            </w:pPr>
            <w:r>
              <w:t>100</w:t>
            </w:r>
            <w:r>
              <w:rPr>
                <w:lang w:val="id-ID"/>
              </w:rPr>
              <w:t>,</w:t>
            </w:r>
            <w:r>
              <w:t>00</w:t>
            </w:r>
          </w:p>
        </w:tc>
        <w:tc>
          <w:tcPr>
            <w:tcW w:w="1079"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15" w:type="dxa"/>
              <w:left w:w="15" w:type="dxa"/>
              <w:bottom w:w="0" w:type="dxa"/>
              <w:right w:w="15" w:type="dxa"/>
            </w:tcMar>
            <w:vAlign w:val="center"/>
          </w:tcPr>
          <w:p w:rsidR="007335FD" w:rsidRDefault="00815898">
            <w:pPr>
              <w:ind w:right="-15"/>
              <w:jc w:val="center"/>
            </w:pPr>
            <w:r>
              <w:rPr>
                <w:lang w:val="id-ID"/>
              </w:rPr>
              <w:t>100,00</w:t>
            </w:r>
          </w:p>
        </w:tc>
      </w:tr>
      <w:tr w:rsidR="007335FD">
        <w:trPr>
          <w:trHeight w:val="443"/>
        </w:trPr>
        <w:tc>
          <w:tcPr>
            <w:tcW w:w="93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jc w:val="center"/>
            </w:pPr>
            <w:r>
              <w:t>11</w:t>
            </w:r>
          </w:p>
        </w:tc>
        <w:tc>
          <w:tcPr>
            <w:tcW w:w="6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r>
              <w:t xml:space="preserve">Penghentian penyidikan yang kontroversial oleh jaksa atau polisi </w:t>
            </w:r>
          </w:p>
        </w:tc>
        <w:tc>
          <w:tcPr>
            <w:tcW w:w="110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432" w:type="dxa"/>
            </w:tcMar>
            <w:vAlign w:val="center"/>
          </w:tcPr>
          <w:p w:rsidR="007335FD" w:rsidRDefault="00815898">
            <w:pPr>
              <w:ind w:right="-431"/>
              <w:jc w:val="center"/>
            </w:pPr>
            <w:r>
              <w:t>100</w:t>
            </w:r>
            <w:r>
              <w:rPr>
                <w:lang w:val="id-ID"/>
              </w:rPr>
              <w:t>,</w:t>
            </w:r>
            <w:r>
              <w:t>00</w:t>
            </w:r>
          </w:p>
        </w:tc>
        <w:tc>
          <w:tcPr>
            <w:tcW w:w="10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15" w:type="dxa"/>
              <w:left w:w="15" w:type="dxa"/>
              <w:bottom w:w="0" w:type="dxa"/>
              <w:right w:w="15" w:type="dxa"/>
            </w:tcMar>
            <w:vAlign w:val="center"/>
          </w:tcPr>
          <w:p w:rsidR="007335FD" w:rsidRDefault="00815898">
            <w:pPr>
              <w:ind w:right="-15"/>
              <w:jc w:val="center"/>
            </w:pPr>
            <w:r>
              <w:rPr>
                <w:lang w:val="id-ID"/>
              </w:rPr>
              <w:t>100,00</w:t>
            </w:r>
          </w:p>
        </w:tc>
      </w:tr>
    </w:tbl>
    <w:p w:rsidR="007335FD" w:rsidRDefault="00815898">
      <w:pPr>
        <w:spacing w:line="360" w:lineRule="auto"/>
        <w:ind w:leftChars="200" w:left="440" w:firstLine="660"/>
        <w:jc w:val="both"/>
        <w:rPr>
          <w:rFonts w:cs="Aparajita"/>
          <w:sz w:val="24"/>
          <w:szCs w:val="24"/>
        </w:rPr>
      </w:pPr>
      <w:r>
        <w:rPr>
          <w:rFonts w:cs="Aparajita"/>
          <w:sz w:val="24"/>
          <w:szCs w:val="24"/>
        </w:rPr>
        <w:t xml:space="preserve"> P</w:t>
      </w:r>
      <w:r>
        <w:rPr>
          <w:sz w:val="24"/>
          <w:szCs w:val="24"/>
        </w:rPr>
        <w:t>erbandingan nilai Indeks Demokrasi Indonesia di Sumatera Barat tahun 2016-2018 dapat</w:t>
      </w:r>
      <w:r>
        <w:rPr>
          <w:rFonts w:cs="Aparajita"/>
          <w:sz w:val="24"/>
          <w:szCs w:val="24"/>
        </w:rPr>
        <w:t xml:space="preserve"> dijelaskan pada tabel </w:t>
      </w:r>
      <w:proofErr w:type="gramStart"/>
      <w:r>
        <w:rPr>
          <w:rFonts w:cs="Aparajita"/>
          <w:sz w:val="24"/>
          <w:szCs w:val="24"/>
        </w:rPr>
        <w:t>berikut :</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3.22</w:t>
      </w:r>
    </w:p>
    <w:p w:rsidR="007335FD" w:rsidRDefault="00815898">
      <w:pPr>
        <w:pStyle w:val="NoSpacing"/>
        <w:jc w:val="center"/>
        <w:rPr>
          <w:rFonts w:hAnsi="Berlin Sans FB Demi"/>
          <w:b/>
          <w:bCs/>
          <w:sz w:val="24"/>
          <w:szCs w:val="24"/>
        </w:rPr>
      </w:pPr>
      <w:r>
        <w:rPr>
          <w:rFonts w:hAnsi="Berlin Sans FB Demi"/>
          <w:b/>
          <w:bCs/>
          <w:sz w:val="24"/>
          <w:szCs w:val="24"/>
        </w:rPr>
        <w:t>Perbandingan nilai IDI di Sumatera Barat</w:t>
      </w:r>
    </w:p>
    <w:p w:rsidR="007335FD" w:rsidRDefault="00815898">
      <w:pPr>
        <w:spacing w:line="360" w:lineRule="auto"/>
        <w:jc w:val="center"/>
        <w:rPr>
          <w:rFonts w:cs="Aparajita"/>
          <w:b/>
          <w:bCs/>
          <w:sz w:val="24"/>
          <w:szCs w:val="24"/>
        </w:rPr>
      </w:pPr>
      <w:r>
        <w:rPr>
          <w:rFonts w:hAnsi="Berlin Sans FB Demi"/>
          <w:b/>
          <w:bCs/>
          <w:sz w:val="24"/>
          <w:szCs w:val="24"/>
        </w:rPr>
        <w:t>Tahun 2016-2018</w:t>
      </w:r>
    </w:p>
    <w:tbl>
      <w:tblPr>
        <w:tblStyle w:val="TableGrid"/>
        <w:tblW w:w="8995" w:type="dxa"/>
        <w:tblInd w:w="554" w:type="dxa"/>
        <w:tblLayout w:type="fixed"/>
        <w:tblLook w:val="04A0" w:firstRow="1" w:lastRow="0" w:firstColumn="1" w:lastColumn="0" w:noHBand="0" w:noVBand="1"/>
      </w:tblPr>
      <w:tblGrid>
        <w:gridCol w:w="2200"/>
        <w:gridCol w:w="2020"/>
        <w:gridCol w:w="2387"/>
        <w:gridCol w:w="2388"/>
      </w:tblGrid>
      <w:tr w:rsidR="007335FD">
        <w:tc>
          <w:tcPr>
            <w:tcW w:w="2200" w:type="dxa"/>
            <w:shd w:val="clear" w:color="auto" w:fill="C00000"/>
          </w:tcPr>
          <w:p w:rsidR="007335FD" w:rsidRDefault="00815898">
            <w:pPr>
              <w:spacing w:line="360" w:lineRule="auto"/>
              <w:jc w:val="center"/>
              <w:rPr>
                <w:sz w:val="24"/>
                <w:szCs w:val="24"/>
              </w:rPr>
            </w:pPr>
            <w:r>
              <w:rPr>
                <w:sz w:val="24"/>
                <w:szCs w:val="24"/>
              </w:rPr>
              <w:t>KET</w:t>
            </w:r>
          </w:p>
        </w:tc>
        <w:tc>
          <w:tcPr>
            <w:tcW w:w="2020" w:type="dxa"/>
            <w:shd w:val="clear" w:color="auto" w:fill="C00000"/>
          </w:tcPr>
          <w:p w:rsidR="007335FD" w:rsidRDefault="00815898">
            <w:pPr>
              <w:spacing w:line="360" w:lineRule="auto"/>
              <w:jc w:val="center"/>
              <w:rPr>
                <w:sz w:val="24"/>
                <w:szCs w:val="24"/>
              </w:rPr>
            </w:pPr>
            <w:r>
              <w:rPr>
                <w:sz w:val="24"/>
                <w:szCs w:val="24"/>
              </w:rPr>
              <w:t>Tahun 2016</w:t>
            </w:r>
          </w:p>
        </w:tc>
        <w:tc>
          <w:tcPr>
            <w:tcW w:w="2387" w:type="dxa"/>
            <w:shd w:val="clear" w:color="auto" w:fill="C00000"/>
          </w:tcPr>
          <w:p w:rsidR="007335FD" w:rsidRDefault="00815898">
            <w:pPr>
              <w:spacing w:line="360" w:lineRule="auto"/>
              <w:jc w:val="center"/>
              <w:rPr>
                <w:sz w:val="24"/>
                <w:szCs w:val="24"/>
              </w:rPr>
            </w:pPr>
            <w:r>
              <w:rPr>
                <w:sz w:val="24"/>
                <w:szCs w:val="24"/>
              </w:rPr>
              <w:t>Tahun 2017</w:t>
            </w:r>
          </w:p>
        </w:tc>
        <w:tc>
          <w:tcPr>
            <w:tcW w:w="2388" w:type="dxa"/>
            <w:shd w:val="clear" w:color="auto" w:fill="C00000"/>
          </w:tcPr>
          <w:p w:rsidR="007335FD" w:rsidRDefault="00815898">
            <w:pPr>
              <w:spacing w:line="360" w:lineRule="auto"/>
              <w:jc w:val="center"/>
              <w:rPr>
                <w:sz w:val="24"/>
                <w:szCs w:val="24"/>
              </w:rPr>
            </w:pPr>
            <w:r>
              <w:rPr>
                <w:sz w:val="24"/>
                <w:szCs w:val="24"/>
              </w:rPr>
              <w:t>Tahun 2018</w:t>
            </w:r>
          </w:p>
        </w:tc>
      </w:tr>
      <w:tr w:rsidR="007335FD">
        <w:tc>
          <w:tcPr>
            <w:tcW w:w="2200" w:type="dxa"/>
          </w:tcPr>
          <w:p w:rsidR="007335FD" w:rsidRDefault="00815898">
            <w:pPr>
              <w:spacing w:line="360" w:lineRule="auto"/>
              <w:jc w:val="both"/>
              <w:rPr>
                <w:sz w:val="24"/>
                <w:szCs w:val="24"/>
              </w:rPr>
            </w:pPr>
            <w:r>
              <w:rPr>
                <w:sz w:val="24"/>
                <w:szCs w:val="24"/>
              </w:rPr>
              <w:t>Nilai IDI di Sumbar</w:t>
            </w:r>
          </w:p>
        </w:tc>
        <w:tc>
          <w:tcPr>
            <w:tcW w:w="2020" w:type="dxa"/>
          </w:tcPr>
          <w:p w:rsidR="007335FD" w:rsidRDefault="00815898">
            <w:pPr>
              <w:spacing w:line="360" w:lineRule="auto"/>
              <w:jc w:val="center"/>
              <w:rPr>
                <w:sz w:val="24"/>
                <w:szCs w:val="24"/>
              </w:rPr>
            </w:pPr>
            <w:r>
              <w:rPr>
                <w:sz w:val="24"/>
                <w:szCs w:val="24"/>
              </w:rPr>
              <w:t>67,46</w:t>
            </w:r>
          </w:p>
        </w:tc>
        <w:tc>
          <w:tcPr>
            <w:tcW w:w="2387" w:type="dxa"/>
          </w:tcPr>
          <w:p w:rsidR="007335FD" w:rsidRDefault="00815898">
            <w:pPr>
              <w:spacing w:line="360" w:lineRule="auto"/>
              <w:jc w:val="center"/>
              <w:rPr>
                <w:sz w:val="24"/>
                <w:szCs w:val="24"/>
              </w:rPr>
            </w:pPr>
            <w:r>
              <w:rPr>
                <w:sz w:val="24"/>
                <w:szCs w:val="24"/>
              </w:rPr>
              <w:t>54,41</w:t>
            </w:r>
          </w:p>
        </w:tc>
        <w:tc>
          <w:tcPr>
            <w:tcW w:w="2388" w:type="dxa"/>
          </w:tcPr>
          <w:p w:rsidR="007335FD" w:rsidRDefault="00815898">
            <w:pPr>
              <w:spacing w:line="360" w:lineRule="auto"/>
              <w:jc w:val="center"/>
              <w:rPr>
                <w:sz w:val="24"/>
                <w:szCs w:val="24"/>
              </w:rPr>
            </w:pPr>
            <w:r>
              <w:rPr>
                <w:sz w:val="24"/>
                <w:szCs w:val="24"/>
              </w:rPr>
              <w:t>69,50</w:t>
            </w:r>
          </w:p>
        </w:tc>
      </w:tr>
    </w:tbl>
    <w:p w:rsidR="007335FD" w:rsidRDefault="00815898">
      <w:pPr>
        <w:autoSpaceDE w:val="0"/>
        <w:autoSpaceDN w:val="0"/>
        <w:adjustRightInd w:val="0"/>
        <w:spacing w:after="0" w:line="360" w:lineRule="auto"/>
        <w:jc w:val="center"/>
        <w:rPr>
          <w:rFonts w:cs="Aparajita"/>
          <w:b/>
          <w:sz w:val="24"/>
          <w:szCs w:val="24"/>
        </w:rPr>
      </w:pPr>
      <w:r>
        <w:rPr>
          <w:rFonts w:cs="Aparajita"/>
          <w:b/>
          <w:noProof/>
          <w:sz w:val="24"/>
          <w:szCs w:val="24"/>
        </w:rPr>
        <w:lastRenderedPageBreak/>
        <w:drawing>
          <wp:inline distT="0" distB="0" distL="0" distR="0">
            <wp:extent cx="4318635" cy="2212975"/>
            <wp:effectExtent l="19050" t="19050" r="31115" b="2857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335FD" w:rsidRDefault="007335FD">
      <w:pPr>
        <w:autoSpaceDE w:val="0"/>
        <w:autoSpaceDN w:val="0"/>
        <w:adjustRightInd w:val="0"/>
        <w:spacing w:after="0" w:line="360" w:lineRule="auto"/>
        <w:jc w:val="both"/>
        <w:rPr>
          <w:rFonts w:cs="Aparajita"/>
          <w:b/>
          <w:sz w:val="24"/>
          <w:szCs w:val="24"/>
        </w:rPr>
      </w:pPr>
    </w:p>
    <w:p w:rsidR="007335FD" w:rsidRDefault="00815898">
      <w:pPr>
        <w:pStyle w:val="ListParagraph"/>
        <w:spacing w:after="0" w:line="360" w:lineRule="auto"/>
        <w:ind w:left="440" w:firstLineChars="275" w:firstLine="660"/>
        <w:jc w:val="both"/>
        <w:rPr>
          <w:rFonts w:cs="Tahoma"/>
          <w:sz w:val="24"/>
          <w:szCs w:val="24"/>
        </w:rPr>
      </w:pPr>
      <w:r>
        <w:rPr>
          <w:rFonts w:cs="Tahoma"/>
          <w:sz w:val="24"/>
          <w:szCs w:val="24"/>
        </w:rPr>
        <w:t xml:space="preserve">Capaian indikator kinerja nilai Indeks Demokrasi Indonesia (IDI) di Sumbar juga menunjukkan trend peningkatan dari tahun sebelumnya, sebagaimana yang disajikan pada tabel </w:t>
      </w:r>
      <w:proofErr w:type="gramStart"/>
      <w:r>
        <w:rPr>
          <w:rFonts w:cs="Tahoma"/>
          <w:sz w:val="24"/>
          <w:szCs w:val="24"/>
        </w:rPr>
        <w:t>berikut :</w:t>
      </w:r>
      <w:proofErr w:type="gramEnd"/>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Tabel 3.23</w:t>
      </w:r>
    </w:p>
    <w:p w:rsidR="007335FD" w:rsidRDefault="00815898">
      <w:pPr>
        <w:pStyle w:val="NoSpacing"/>
        <w:jc w:val="center"/>
        <w:rPr>
          <w:rFonts w:hAnsi="Berlin Sans FB Demi" w:cs="Tahoma"/>
          <w:b/>
          <w:bCs/>
          <w:sz w:val="24"/>
          <w:szCs w:val="24"/>
        </w:rPr>
      </w:pPr>
      <w:r>
        <w:rPr>
          <w:rFonts w:hAnsi="Berlin Sans FB Demi"/>
          <w:b/>
          <w:bCs/>
          <w:sz w:val="24"/>
          <w:szCs w:val="24"/>
        </w:rPr>
        <w:t>Realisasi dan Capaian Indikator Kinerja N</w:t>
      </w:r>
      <w:r>
        <w:rPr>
          <w:rFonts w:hAnsi="Berlin Sans FB Demi" w:cs="Tahoma"/>
          <w:b/>
          <w:bCs/>
          <w:sz w:val="24"/>
          <w:szCs w:val="24"/>
        </w:rPr>
        <w:t xml:space="preserve">ilai Indeks Demokrasi Indonesia (IDI) </w:t>
      </w:r>
    </w:p>
    <w:p w:rsidR="007335FD" w:rsidRDefault="00815898">
      <w:pPr>
        <w:pStyle w:val="NoSpacing"/>
        <w:jc w:val="center"/>
        <w:rPr>
          <w:rFonts w:hAnsi="Berlin Sans FB Demi"/>
          <w:b/>
          <w:bCs/>
          <w:sz w:val="24"/>
          <w:szCs w:val="24"/>
        </w:rPr>
      </w:pPr>
      <w:proofErr w:type="gramStart"/>
      <w:r>
        <w:rPr>
          <w:rFonts w:hAnsi="Berlin Sans FB Demi" w:cs="Tahoma"/>
          <w:b/>
          <w:bCs/>
          <w:sz w:val="24"/>
          <w:szCs w:val="24"/>
        </w:rPr>
        <w:t>di</w:t>
      </w:r>
      <w:proofErr w:type="gramEnd"/>
      <w:r>
        <w:rPr>
          <w:rFonts w:hAnsi="Berlin Sans FB Demi" w:cs="Tahoma"/>
          <w:b/>
          <w:bCs/>
          <w:sz w:val="24"/>
          <w:szCs w:val="24"/>
        </w:rPr>
        <w:t xml:space="preserve"> Sumbar </w:t>
      </w:r>
      <w:r>
        <w:rPr>
          <w:rFonts w:hAnsi="Berlin Sans FB Demi"/>
          <w:b/>
          <w:bCs/>
          <w:sz w:val="24"/>
          <w:szCs w:val="24"/>
        </w:rPr>
        <w:t>Tahun 2017-2018</w:t>
      </w:r>
    </w:p>
    <w:tbl>
      <w:tblPr>
        <w:tblStyle w:val="TableGrid"/>
        <w:tblpPr w:leftFromText="180" w:rightFromText="180" w:vertAnchor="text" w:horzAnchor="page" w:tblpX="1974" w:tblpY="181"/>
        <w:tblOverlap w:val="never"/>
        <w:tblW w:w="8181" w:type="dxa"/>
        <w:tblLayout w:type="fixed"/>
        <w:tblLook w:val="04A0" w:firstRow="1" w:lastRow="0" w:firstColumn="1" w:lastColumn="0" w:noHBand="0" w:noVBand="1"/>
      </w:tblPr>
      <w:tblGrid>
        <w:gridCol w:w="595"/>
        <w:gridCol w:w="1545"/>
        <w:gridCol w:w="831"/>
        <w:gridCol w:w="1020"/>
        <w:gridCol w:w="816"/>
        <w:gridCol w:w="988"/>
        <w:gridCol w:w="1107"/>
        <w:gridCol w:w="1279"/>
      </w:tblGrid>
      <w:tr w:rsidR="007335FD">
        <w:tc>
          <w:tcPr>
            <w:tcW w:w="595"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No</w:t>
            </w:r>
          </w:p>
        </w:tc>
        <w:tc>
          <w:tcPr>
            <w:tcW w:w="1545" w:type="dxa"/>
            <w:vMerge w:val="restart"/>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Indikator Kinerja</w:t>
            </w:r>
          </w:p>
        </w:tc>
        <w:tc>
          <w:tcPr>
            <w:tcW w:w="2667" w:type="dxa"/>
            <w:gridSpan w:val="3"/>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Realisasi</w:t>
            </w:r>
          </w:p>
        </w:tc>
        <w:tc>
          <w:tcPr>
            <w:tcW w:w="3374" w:type="dxa"/>
            <w:gridSpan w:val="3"/>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Capaian</w:t>
            </w:r>
          </w:p>
        </w:tc>
      </w:tr>
      <w:tr w:rsidR="007335FD">
        <w:tc>
          <w:tcPr>
            <w:tcW w:w="595"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sz w:val="24"/>
                <w:szCs w:val="24"/>
              </w:rPr>
            </w:pPr>
          </w:p>
        </w:tc>
        <w:tc>
          <w:tcPr>
            <w:tcW w:w="1545" w:type="dxa"/>
            <w:vMerge/>
            <w:shd w:val="clear" w:color="auto" w:fill="C00000"/>
            <w:vAlign w:val="center"/>
          </w:tcPr>
          <w:p w:rsidR="007335FD" w:rsidRDefault="007335FD">
            <w:pPr>
              <w:pStyle w:val="ListParagraph"/>
              <w:spacing w:line="360" w:lineRule="auto"/>
              <w:ind w:left="0"/>
              <w:jc w:val="center"/>
              <w:rPr>
                <w:rFonts w:hAnsi="Rockwell"/>
                <w:b/>
                <w:color w:val="FFFFFF" w:themeColor="background1"/>
                <w:sz w:val="24"/>
                <w:szCs w:val="24"/>
              </w:rPr>
            </w:pPr>
          </w:p>
        </w:tc>
        <w:tc>
          <w:tcPr>
            <w:tcW w:w="831" w:type="dxa"/>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2016</w:t>
            </w:r>
          </w:p>
        </w:tc>
        <w:tc>
          <w:tcPr>
            <w:tcW w:w="1020" w:type="dxa"/>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2017</w:t>
            </w:r>
          </w:p>
        </w:tc>
        <w:tc>
          <w:tcPr>
            <w:tcW w:w="816" w:type="dxa"/>
            <w:shd w:val="clear" w:color="auto" w:fill="C00000"/>
            <w:vAlign w:val="center"/>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2018</w:t>
            </w:r>
          </w:p>
        </w:tc>
        <w:tc>
          <w:tcPr>
            <w:tcW w:w="988"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2016</w:t>
            </w:r>
          </w:p>
        </w:tc>
        <w:tc>
          <w:tcPr>
            <w:tcW w:w="1107"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2017</w:t>
            </w:r>
          </w:p>
        </w:tc>
        <w:tc>
          <w:tcPr>
            <w:tcW w:w="1279" w:type="dxa"/>
            <w:shd w:val="clear" w:color="auto" w:fill="C00000"/>
          </w:tcPr>
          <w:p w:rsidR="007335FD" w:rsidRDefault="00815898">
            <w:pPr>
              <w:pStyle w:val="ListParagraph"/>
              <w:spacing w:line="360" w:lineRule="auto"/>
              <w:ind w:left="0"/>
              <w:jc w:val="center"/>
              <w:rPr>
                <w:rFonts w:hAnsi="Rockwell"/>
                <w:b/>
                <w:color w:val="FFFFFF" w:themeColor="background1"/>
                <w:sz w:val="24"/>
                <w:szCs w:val="24"/>
              </w:rPr>
            </w:pPr>
            <w:r>
              <w:rPr>
                <w:rFonts w:hAnsi="Rockwell"/>
                <w:b/>
                <w:color w:val="FFFFFF" w:themeColor="background1"/>
                <w:sz w:val="24"/>
                <w:szCs w:val="24"/>
              </w:rPr>
              <w:t>2018</w:t>
            </w:r>
          </w:p>
        </w:tc>
      </w:tr>
      <w:tr w:rsidR="007335FD">
        <w:trPr>
          <w:trHeight w:val="275"/>
        </w:trPr>
        <w:tc>
          <w:tcPr>
            <w:tcW w:w="595" w:type="dxa"/>
          </w:tcPr>
          <w:p w:rsidR="007335FD" w:rsidRDefault="00815898">
            <w:pPr>
              <w:pStyle w:val="ListParagraph"/>
              <w:spacing w:line="360" w:lineRule="auto"/>
              <w:ind w:left="0"/>
              <w:jc w:val="center"/>
              <w:rPr>
                <w:rFonts w:hAnsi="Rockwell"/>
              </w:rPr>
            </w:pPr>
            <w:r>
              <w:rPr>
                <w:rFonts w:hAnsi="Rockwell"/>
              </w:rPr>
              <w:t>1</w:t>
            </w:r>
          </w:p>
        </w:tc>
        <w:tc>
          <w:tcPr>
            <w:tcW w:w="1545" w:type="dxa"/>
          </w:tcPr>
          <w:p w:rsidR="007335FD" w:rsidRDefault="00815898">
            <w:pPr>
              <w:pStyle w:val="NoSpacing"/>
              <w:jc w:val="left"/>
              <w:rPr>
                <w:sz w:val="22"/>
                <w:szCs w:val="22"/>
              </w:rPr>
            </w:pPr>
            <w:r>
              <w:rPr>
                <w:sz w:val="22"/>
                <w:szCs w:val="22"/>
              </w:rPr>
              <w:t>Nilai Indeks Demokrasi Indonesia (IDI) di Sumbar</w:t>
            </w:r>
          </w:p>
        </w:tc>
        <w:tc>
          <w:tcPr>
            <w:tcW w:w="831" w:type="dxa"/>
          </w:tcPr>
          <w:p w:rsidR="007335FD" w:rsidRDefault="00815898">
            <w:pPr>
              <w:pStyle w:val="ListParagraph"/>
              <w:spacing w:line="360" w:lineRule="auto"/>
              <w:ind w:left="0"/>
              <w:jc w:val="center"/>
              <w:rPr>
                <w:rFonts w:hAnsi="Rockwell"/>
              </w:rPr>
            </w:pPr>
            <w:r>
              <w:rPr>
                <w:rFonts w:hAnsi="Rockwell"/>
              </w:rPr>
              <w:t>67,46</w:t>
            </w:r>
          </w:p>
        </w:tc>
        <w:tc>
          <w:tcPr>
            <w:tcW w:w="1020" w:type="dxa"/>
          </w:tcPr>
          <w:p w:rsidR="007335FD" w:rsidRDefault="00815898">
            <w:pPr>
              <w:pStyle w:val="ListParagraph"/>
              <w:spacing w:line="360" w:lineRule="auto"/>
              <w:ind w:left="0"/>
              <w:jc w:val="center"/>
              <w:rPr>
                <w:rFonts w:hAnsi="Rockwell"/>
              </w:rPr>
            </w:pPr>
            <w:r>
              <w:rPr>
                <w:rFonts w:hAnsi="Rockwell"/>
              </w:rPr>
              <w:t>54,41</w:t>
            </w:r>
          </w:p>
        </w:tc>
        <w:tc>
          <w:tcPr>
            <w:tcW w:w="816" w:type="dxa"/>
          </w:tcPr>
          <w:p w:rsidR="007335FD" w:rsidRDefault="00815898">
            <w:pPr>
              <w:pStyle w:val="ListParagraph"/>
              <w:spacing w:line="360" w:lineRule="auto"/>
              <w:ind w:left="0"/>
              <w:jc w:val="center"/>
              <w:rPr>
                <w:rFonts w:hAnsi="Rockwell"/>
              </w:rPr>
            </w:pPr>
            <w:r>
              <w:rPr>
                <w:rFonts w:hAnsi="Rockwell"/>
              </w:rPr>
              <w:t>69,50</w:t>
            </w:r>
          </w:p>
        </w:tc>
        <w:tc>
          <w:tcPr>
            <w:tcW w:w="988" w:type="dxa"/>
          </w:tcPr>
          <w:p w:rsidR="007335FD" w:rsidRDefault="00815898">
            <w:pPr>
              <w:pStyle w:val="ListParagraph"/>
              <w:spacing w:line="360" w:lineRule="auto"/>
              <w:ind w:left="0"/>
              <w:jc w:val="center"/>
              <w:rPr>
                <w:rFonts w:hAnsi="Rockwell"/>
              </w:rPr>
            </w:pPr>
            <w:r>
              <w:rPr>
                <w:rFonts w:hAnsi="Rockwell"/>
              </w:rPr>
              <w:t>112,43</w:t>
            </w:r>
          </w:p>
        </w:tc>
        <w:tc>
          <w:tcPr>
            <w:tcW w:w="1107" w:type="dxa"/>
          </w:tcPr>
          <w:p w:rsidR="007335FD" w:rsidRDefault="00815898">
            <w:pPr>
              <w:pStyle w:val="ListParagraph"/>
              <w:spacing w:line="360" w:lineRule="auto"/>
              <w:ind w:left="0"/>
              <w:jc w:val="center"/>
              <w:rPr>
                <w:rFonts w:hAnsi="Rockwell"/>
              </w:rPr>
            </w:pPr>
            <w:r>
              <w:rPr>
                <w:rFonts w:hAnsi="Rockwell"/>
              </w:rPr>
              <w:t>80,01</w:t>
            </w:r>
          </w:p>
        </w:tc>
        <w:tc>
          <w:tcPr>
            <w:tcW w:w="1279" w:type="dxa"/>
          </w:tcPr>
          <w:p w:rsidR="007335FD" w:rsidRDefault="00815898">
            <w:pPr>
              <w:pStyle w:val="ListParagraph"/>
              <w:spacing w:line="360" w:lineRule="auto"/>
              <w:ind w:left="0"/>
              <w:jc w:val="center"/>
              <w:rPr>
                <w:rFonts w:hAnsi="Rockwell"/>
              </w:rPr>
            </w:pPr>
            <w:r>
              <w:rPr>
                <w:rFonts w:hAnsi="Rockwell"/>
              </w:rPr>
              <w:t>99,28</w:t>
            </w:r>
          </w:p>
        </w:tc>
      </w:tr>
    </w:tbl>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7335FD">
      <w:pPr>
        <w:pStyle w:val="NoSpacing"/>
        <w:jc w:val="center"/>
        <w:rPr>
          <w:rFonts w:hAnsi="Berlin Sans FB Demi"/>
          <w:b/>
          <w:bCs/>
          <w:sz w:val="24"/>
          <w:szCs w:val="24"/>
        </w:rPr>
      </w:pPr>
    </w:p>
    <w:p w:rsidR="007335FD" w:rsidRDefault="00815898">
      <w:pPr>
        <w:pStyle w:val="NoSpacing"/>
        <w:jc w:val="center"/>
        <w:rPr>
          <w:rFonts w:hAnsi="Berlin Sans FB Demi"/>
          <w:b/>
          <w:bCs/>
          <w:sz w:val="24"/>
          <w:szCs w:val="24"/>
        </w:rPr>
      </w:pPr>
      <w:r>
        <w:rPr>
          <w:rFonts w:hAnsi="Berlin Sans FB Demi"/>
          <w:b/>
          <w:bCs/>
          <w:sz w:val="24"/>
          <w:szCs w:val="24"/>
        </w:rPr>
        <w:t>Grafik 3.10</w:t>
      </w:r>
    </w:p>
    <w:p w:rsidR="007335FD" w:rsidRDefault="00815898">
      <w:pPr>
        <w:pStyle w:val="NoSpacing"/>
        <w:jc w:val="center"/>
        <w:rPr>
          <w:rFonts w:hAnsi="Berlin Sans FB Demi" w:cs="Tahoma"/>
          <w:b/>
          <w:bCs/>
          <w:sz w:val="24"/>
          <w:szCs w:val="24"/>
        </w:rPr>
      </w:pPr>
      <w:r>
        <w:rPr>
          <w:rFonts w:hAnsi="Berlin Sans FB Demi"/>
          <w:b/>
          <w:bCs/>
          <w:sz w:val="24"/>
          <w:szCs w:val="24"/>
        </w:rPr>
        <w:t xml:space="preserve">Realisasi dan Capaian Indikator Kinerja </w:t>
      </w:r>
      <w:r>
        <w:rPr>
          <w:rFonts w:hAnsi="Berlin Sans FB Demi" w:cs="Tahoma"/>
          <w:b/>
          <w:bCs/>
          <w:sz w:val="24"/>
          <w:szCs w:val="24"/>
        </w:rPr>
        <w:t xml:space="preserve">Nilai Indeks Demokrasi Indonesia (IDI) </w:t>
      </w:r>
    </w:p>
    <w:p w:rsidR="007335FD" w:rsidRDefault="00815898">
      <w:pPr>
        <w:pStyle w:val="NoSpacing"/>
        <w:jc w:val="center"/>
        <w:rPr>
          <w:rFonts w:hAnsi="Berlin Sans FB Demi"/>
          <w:b/>
          <w:bCs/>
          <w:sz w:val="24"/>
          <w:szCs w:val="24"/>
        </w:rPr>
      </w:pPr>
      <w:proofErr w:type="gramStart"/>
      <w:r>
        <w:rPr>
          <w:rFonts w:hAnsi="Berlin Sans FB Demi" w:cs="Tahoma"/>
          <w:b/>
          <w:bCs/>
          <w:sz w:val="24"/>
          <w:szCs w:val="24"/>
        </w:rPr>
        <w:t>di</w:t>
      </w:r>
      <w:proofErr w:type="gramEnd"/>
      <w:r>
        <w:rPr>
          <w:rFonts w:hAnsi="Berlin Sans FB Demi" w:cs="Tahoma"/>
          <w:b/>
          <w:bCs/>
          <w:sz w:val="24"/>
          <w:szCs w:val="24"/>
        </w:rPr>
        <w:t xml:space="preserve"> Sumbar </w:t>
      </w:r>
      <w:r>
        <w:rPr>
          <w:rFonts w:hAnsi="Berlin Sans FB Demi"/>
          <w:b/>
          <w:bCs/>
          <w:sz w:val="24"/>
          <w:szCs w:val="24"/>
        </w:rPr>
        <w:t>Tahun 2016-2018</w:t>
      </w:r>
    </w:p>
    <w:p w:rsidR="007335FD" w:rsidRDefault="007335FD">
      <w:pPr>
        <w:pStyle w:val="NoSpacing"/>
        <w:jc w:val="center"/>
        <w:rPr>
          <w:rFonts w:ascii="Berlin Sans FB Demi" w:hAnsi="Berlin Sans FB Demi"/>
          <w:b/>
          <w:sz w:val="24"/>
          <w:szCs w:val="24"/>
        </w:rPr>
      </w:pPr>
    </w:p>
    <w:p w:rsidR="007335FD" w:rsidRDefault="00815898">
      <w:pPr>
        <w:pStyle w:val="NoSpacing"/>
        <w:spacing w:line="360" w:lineRule="auto"/>
        <w:ind w:leftChars="200" w:left="440"/>
        <w:jc w:val="center"/>
        <w:rPr>
          <w:sz w:val="24"/>
          <w:szCs w:val="24"/>
        </w:rPr>
      </w:pPr>
      <w:r>
        <w:rPr>
          <w:rFonts w:cs="Aparajita"/>
          <w:b/>
          <w:noProof/>
          <w:sz w:val="24"/>
          <w:szCs w:val="24"/>
          <w:lang w:bidi="ar-SA"/>
        </w:rPr>
        <w:drawing>
          <wp:inline distT="0" distB="0" distL="0" distR="0">
            <wp:extent cx="3958590" cy="1923415"/>
            <wp:effectExtent l="19050" t="19050" r="22860" b="2603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335FD" w:rsidRDefault="00815898">
      <w:pPr>
        <w:pStyle w:val="NoSpacing"/>
        <w:spacing w:line="360" w:lineRule="auto"/>
        <w:ind w:leftChars="200" w:left="440" w:firstLineChars="275" w:firstLine="660"/>
        <w:rPr>
          <w:sz w:val="24"/>
          <w:szCs w:val="24"/>
        </w:rPr>
      </w:pPr>
      <w:r>
        <w:rPr>
          <w:sz w:val="24"/>
          <w:szCs w:val="24"/>
        </w:rPr>
        <w:lastRenderedPageBreak/>
        <w:t xml:space="preserve">Berdasarkan tabel diatas, dapat dijelaskan bahwa nilai IDI Sumbar tahun 2017 yang dirilis pada tahun 2018 adalah 69,50 dengan penjelasan kehidupan demokrasi di Sumbar berada pada level Sedang. Sesuai dengan data yang dirilis oleh Badan Pusat Statistik (BPS) Prov. Sumbar, lonjakan nilai IDI Sumbar tercatat sebesar 15,09 poin dibandingkan dengan perolehan nilai IDI Tahun 2016 yakni 54,40. </w:t>
      </w:r>
    </w:p>
    <w:p w:rsidR="007335FD" w:rsidRDefault="00815898">
      <w:pPr>
        <w:pStyle w:val="NoSpacing"/>
        <w:spacing w:line="360" w:lineRule="auto"/>
        <w:ind w:leftChars="200" w:left="440" w:firstLineChars="275" w:firstLine="660"/>
        <w:rPr>
          <w:rFonts w:hAnsi="Tahoma" w:cs="Tahoma"/>
          <w:color w:val="000000"/>
          <w:sz w:val="24"/>
          <w:szCs w:val="24"/>
        </w:rPr>
      </w:pPr>
      <w:r>
        <w:rPr>
          <w:rFonts w:hAnsi="Tahoma" w:cs="Tahoma"/>
          <w:color w:val="000000"/>
          <w:sz w:val="24"/>
          <w:szCs w:val="24"/>
        </w:rPr>
        <w:t xml:space="preserve">Jika dibandingkan dengan capaian nilai IDI Sumbar tahun 2017 dan 2016, yakni 54,41 dan 67.46, nilai IDI Sumbar turun sebanyak 13.05 poin. </w:t>
      </w:r>
      <w:proofErr w:type="gramStart"/>
      <w:r>
        <w:rPr>
          <w:rFonts w:hAnsi="Tahoma" w:cs="Tahoma"/>
          <w:color w:val="000000"/>
          <w:sz w:val="24"/>
          <w:szCs w:val="24"/>
        </w:rPr>
        <w:t>Penurunan ini disebabkan oleh banyaknya kebijakan yang dibuat oleh pemerintah propinsi Sumatera Barat yang berdasarkan pada kearifan lokal dan nilai nilai ketimuran, yang dianggap tidak sesuai dengan indikator indikator IDI yang sebagian besarnya mengadopsi indikator indikator barat.</w:t>
      </w:r>
      <w:proofErr w:type="gramEnd"/>
      <w:r>
        <w:rPr>
          <w:rFonts w:hAnsi="Tahoma" w:cs="Tahoma"/>
          <w:color w:val="000000"/>
          <w:sz w:val="24"/>
          <w:szCs w:val="24"/>
        </w:rPr>
        <w:t xml:space="preserve"> Misal, adanya kebijakan penggunaan busana muslim oleh siswa/i sekolah di Sumbar, kewajiban baca Al Qur</w:t>
      </w:r>
      <w:r>
        <w:rPr>
          <w:rFonts w:hAnsi="Tahoma" w:cs="Tahoma"/>
          <w:color w:val="000000"/>
          <w:sz w:val="24"/>
          <w:szCs w:val="24"/>
        </w:rPr>
        <w:t>’</w:t>
      </w:r>
      <w:r>
        <w:rPr>
          <w:rFonts w:hAnsi="Tahoma" w:cs="Tahoma"/>
          <w:color w:val="000000"/>
          <w:sz w:val="24"/>
          <w:szCs w:val="24"/>
        </w:rPr>
        <w:t xml:space="preserve">an, serta pelarangan aktivitas menyimpang </w:t>
      </w:r>
      <w:r>
        <w:rPr>
          <w:rFonts w:hAnsi="Tahoma" w:cs="Tahoma"/>
          <w:i/>
          <w:iCs/>
          <w:color w:val="000000"/>
          <w:sz w:val="24"/>
          <w:szCs w:val="24"/>
        </w:rPr>
        <w:t>Lesbian, Gay, Transgender dan Bisexual (LGBT)</w:t>
      </w:r>
      <w:r>
        <w:rPr>
          <w:rFonts w:hAnsi="Tahoma" w:cs="Tahoma"/>
          <w:color w:val="000000"/>
          <w:sz w:val="24"/>
          <w:szCs w:val="24"/>
        </w:rPr>
        <w:t xml:space="preserve">, oleh Pemerintah Propinsi Sumbar, dianggap mengekang kebebasan berprilaku individu oleh nilai nilai indikator yang ada pada penilaian IDI. </w:t>
      </w:r>
    </w:p>
    <w:p w:rsidR="007335FD" w:rsidRDefault="00815898">
      <w:pPr>
        <w:pStyle w:val="NoSpacing"/>
        <w:spacing w:line="360" w:lineRule="auto"/>
        <w:ind w:leftChars="200" w:left="440" w:firstLineChars="275" w:firstLine="660"/>
        <w:rPr>
          <w:sz w:val="24"/>
          <w:szCs w:val="24"/>
        </w:rPr>
      </w:pPr>
      <w:proofErr w:type="gramStart"/>
      <w:r>
        <w:rPr>
          <w:rFonts w:hAnsi="Tahoma" w:cs="Tahoma"/>
          <w:color w:val="000000"/>
          <w:sz w:val="24"/>
          <w:szCs w:val="24"/>
        </w:rPr>
        <w:t>Namun, hal ini telah ditanggapi secara langsung oleh Gubernur Sumbar dalam evaluasi nilai IDI Sumbar bersama Ditjen Politik dan Pemerintahan Umum Kemendagri.</w:t>
      </w:r>
      <w:proofErr w:type="gramEnd"/>
      <w:r>
        <w:rPr>
          <w:rFonts w:hAnsi="Tahoma" w:cs="Tahoma"/>
          <w:color w:val="000000"/>
          <w:sz w:val="24"/>
          <w:szCs w:val="24"/>
        </w:rPr>
        <w:t xml:space="preserve"> </w:t>
      </w:r>
      <w:proofErr w:type="gramStart"/>
      <w:r>
        <w:rPr>
          <w:rFonts w:hAnsi="Tahoma" w:cs="Tahoma"/>
          <w:color w:val="000000"/>
          <w:sz w:val="24"/>
          <w:szCs w:val="24"/>
        </w:rPr>
        <w:t>Gubernur Sumbar menyampaikan bahwa hendaknya nilai ketimuran dan kearifan lokal menjadi pertimbangan tersendiri bagi penilai dalam menentukan indikator.</w:t>
      </w:r>
      <w:proofErr w:type="gramEnd"/>
      <w:r>
        <w:rPr>
          <w:rFonts w:hAnsi="Tahoma" w:cs="Tahoma"/>
          <w:color w:val="000000"/>
          <w:sz w:val="24"/>
          <w:szCs w:val="24"/>
        </w:rPr>
        <w:t xml:space="preserve"> </w:t>
      </w:r>
      <w:proofErr w:type="gramStart"/>
      <w:r>
        <w:rPr>
          <w:rFonts w:hAnsi="Tahoma" w:cs="Tahoma"/>
          <w:color w:val="000000"/>
          <w:sz w:val="24"/>
          <w:szCs w:val="24"/>
        </w:rPr>
        <w:t>Gubernur Sumbar juga mengatakan bahwa seharusnya kondisi demokratis di suatu wilayah juga harus mempertimbangkan kondusifnya situasi dan kondisi di daerah tersebut, dimana dalam hal ini Sumbar menjadi salah satu propinsi yang relatif stabil situasi dan kondisi keamanannya.</w:t>
      </w:r>
      <w:proofErr w:type="gramEnd"/>
    </w:p>
    <w:p w:rsidR="007335FD" w:rsidRDefault="00815898">
      <w:pPr>
        <w:pStyle w:val="NoSpacing"/>
        <w:spacing w:line="360" w:lineRule="auto"/>
        <w:ind w:leftChars="200" w:left="440" w:firstLineChars="275" w:firstLine="660"/>
        <w:rPr>
          <w:sz w:val="24"/>
          <w:szCs w:val="24"/>
        </w:rPr>
      </w:pPr>
      <w:r>
        <w:rPr>
          <w:sz w:val="24"/>
          <w:szCs w:val="24"/>
        </w:rPr>
        <w:t xml:space="preserve">Kenaikan nilai IDI di Sumbar tahun 2017 yang dirilis tahun 2018 disebabkan oleh banyak faktor. </w:t>
      </w:r>
      <w:proofErr w:type="gramStart"/>
      <w:r>
        <w:rPr>
          <w:sz w:val="24"/>
          <w:szCs w:val="24"/>
        </w:rPr>
        <w:t>Peran Badan Kesbangpol dalam menaikkan nilai IDI di Sumbar dapat dilihat pada ketiga aspek yang menjadi penilaian IDI yaitu aspek kebebasan sipil, aspek hak-hak politik dan aspek lembaga demokrasi.</w:t>
      </w:r>
      <w:proofErr w:type="gramEnd"/>
      <w:r>
        <w:rPr>
          <w:sz w:val="24"/>
          <w:szCs w:val="24"/>
        </w:rPr>
        <w:t xml:space="preserve"> </w:t>
      </w:r>
    </w:p>
    <w:p w:rsidR="007335FD" w:rsidRDefault="00815898">
      <w:pPr>
        <w:pStyle w:val="NoSpacing"/>
        <w:spacing w:line="360" w:lineRule="auto"/>
        <w:ind w:leftChars="200" w:left="440" w:firstLineChars="275" w:firstLine="660"/>
        <w:rPr>
          <w:sz w:val="24"/>
          <w:szCs w:val="24"/>
        </w:rPr>
      </w:pPr>
      <w:proofErr w:type="gramStart"/>
      <w:r>
        <w:rPr>
          <w:sz w:val="24"/>
          <w:szCs w:val="24"/>
        </w:rPr>
        <w:t>Pada aspek kebebasan sipil terjadi peningkatan pada beberapa indikator dari tahun sebelumnya.</w:t>
      </w:r>
      <w:proofErr w:type="gramEnd"/>
      <w:r>
        <w:rPr>
          <w:sz w:val="24"/>
          <w:szCs w:val="24"/>
        </w:rPr>
        <w:t xml:space="preserve"> Peningkatan skor tertinggi pada aspek kebebasan sipil berada </w:t>
      </w:r>
      <w:proofErr w:type="gramStart"/>
      <w:r>
        <w:rPr>
          <w:sz w:val="24"/>
          <w:szCs w:val="24"/>
        </w:rPr>
        <w:t>pada  indikator</w:t>
      </w:r>
      <w:proofErr w:type="gramEnd"/>
      <w:r>
        <w:rPr>
          <w:sz w:val="24"/>
          <w:szCs w:val="24"/>
        </w:rPr>
        <w:t xml:space="preserve"> “ancaman kekerasan atau penggunaan kekerasan oleh masyarakat karena alasan gender, etnis, atau terhadap kelompok rentan lainnya” yang nilainya naik sangat signifikan sebesar 75 poin dari tahun sebelumnya. </w:t>
      </w:r>
      <w:proofErr w:type="gramStart"/>
      <w:r>
        <w:rPr>
          <w:sz w:val="24"/>
          <w:szCs w:val="24"/>
        </w:rPr>
        <w:t xml:space="preserve">Adanya peningkatan skor pada indikator ini menunjukkan </w:t>
      </w:r>
      <w:r>
        <w:rPr>
          <w:sz w:val="24"/>
          <w:szCs w:val="24"/>
        </w:rPr>
        <w:lastRenderedPageBreak/>
        <w:t>rendahnya jumlah aksi dengan kekerasan (konflik) yang terjadi di Sumbar sepanjang tahun 2017.</w:t>
      </w:r>
      <w:proofErr w:type="gramEnd"/>
      <w:r>
        <w:rPr>
          <w:sz w:val="24"/>
          <w:szCs w:val="24"/>
        </w:rPr>
        <w:t xml:space="preserve"> </w:t>
      </w:r>
      <w:proofErr w:type="gramStart"/>
      <w:r>
        <w:rPr>
          <w:sz w:val="24"/>
          <w:szCs w:val="24"/>
        </w:rPr>
        <w:t>Hal ini tentunya tidak lepas dari peran Badan Kesbangpol yang menjalankan tugas dan fungsinya untuk tetap melakukan deteksi dan cegah dini terhadap berbagai potensi konflik yang muncul di tengah masyarakat.</w:t>
      </w:r>
      <w:proofErr w:type="gramEnd"/>
      <w:r>
        <w:rPr>
          <w:sz w:val="24"/>
          <w:szCs w:val="24"/>
        </w:rPr>
        <w:t xml:space="preserve"> </w:t>
      </w:r>
      <w:proofErr w:type="gramStart"/>
      <w:r>
        <w:rPr>
          <w:sz w:val="24"/>
          <w:szCs w:val="24"/>
        </w:rPr>
        <w:t>Melalui koordinasi yang intensif dengan Forkopimda, Kominda, tokoh agama, tokoh masyarakat dan tokoh adat serta lembaga/ instansi terkait, potensi konflik yang muncul di daerah dapat diredam.</w:t>
      </w:r>
      <w:proofErr w:type="gramEnd"/>
      <w:r>
        <w:rPr>
          <w:sz w:val="24"/>
          <w:szCs w:val="24"/>
        </w:rPr>
        <w:t xml:space="preserve">  </w:t>
      </w:r>
    </w:p>
    <w:p w:rsidR="007335FD" w:rsidRDefault="00815898">
      <w:pPr>
        <w:pStyle w:val="NoSpacing"/>
        <w:spacing w:line="360" w:lineRule="auto"/>
        <w:ind w:leftChars="200" w:left="440" w:firstLineChars="275" w:firstLine="660"/>
        <w:rPr>
          <w:sz w:val="24"/>
          <w:szCs w:val="24"/>
        </w:rPr>
      </w:pPr>
      <w:r>
        <w:rPr>
          <w:sz w:val="24"/>
          <w:szCs w:val="24"/>
        </w:rPr>
        <w:t>Peningkatan skor lainnya berada pada aspek hak-hak politik dengan indikator “demonstrasi yang bersifat kekerasan” yang nilainya naik sebesar 22</w:t>
      </w:r>
      <w:proofErr w:type="gramStart"/>
      <w:r>
        <w:rPr>
          <w:sz w:val="24"/>
          <w:szCs w:val="24"/>
        </w:rPr>
        <w:t>,83</w:t>
      </w:r>
      <w:proofErr w:type="gramEnd"/>
      <w:r>
        <w:rPr>
          <w:sz w:val="24"/>
          <w:szCs w:val="24"/>
        </w:rPr>
        <w:t xml:space="preserve"> poin dari tahun sebelumnya. </w:t>
      </w:r>
      <w:proofErr w:type="gramStart"/>
      <w:r>
        <w:rPr>
          <w:sz w:val="24"/>
          <w:szCs w:val="24"/>
        </w:rPr>
        <w:t>Hal ini menunjukkan rendahnya aksi unjuk rasa dengan kekerasan yang terjadi di Sumatera Barat.</w:t>
      </w:r>
      <w:proofErr w:type="gramEnd"/>
      <w:r>
        <w:rPr>
          <w:sz w:val="24"/>
          <w:szCs w:val="24"/>
        </w:rPr>
        <w:t xml:space="preserve"> </w:t>
      </w:r>
      <w:proofErr w:type="gramStart"/>
      <w:r>
        <w:rPr>
          <w:sz w:val="24"/>
          <w:szCs w:val="24"/>
        </w:rPr>
        <w:t>Badan Kesbangpol berperan penting dalam hal ini, yakni melalui upaya-upaya antisipatif dengan melakukan koordinasi dan konsolidasi dengan pihak kepolisian dan aparat terkait lainnya, sehingga aksi unjuk rasa/demonstrasi yang dilakukan masyarakat dapat diredam dan tidak meluas pada anarkisme.</w:t>
      </w:r>
      <w:proofErr w:type="gramEnd"/>
      <w:r>
        <w:rPr>
          <w:sz w:val="24"/>
          <w:szCs w:val="24"/>
        </w:rPr>
        <w:t xml:space="preserve">    </w:t>
      </w:r>
    </w:p>
    <w:p w:rsidR="007335FD" w:rsidRDefault="00815898">
      <w:pPr>
        <w:pStyle w:val="NoSpacing"/>
        <w:spacing w:line="360" w:lineRule="auto"/>
        <w:ind w:leftChars="200" w:left="440" w:firstLineChars="275" w:firstLine="660"/>
        <w:rPr>
          <w:sz w:val="24"/>
          <w:szCs w:val="24"/>
        </w:rPr>
      </w:pPr>
      <w:proofErr w:type="gramStart"/>
      <w:r>
        <w:rPr>
          <w:sz w:val="24"/>
          <w:szCs w:val="24"/>
        </w:rPr>
        <w:t>Sedangkan pada aspek lembaga demokrasi, peningkatan skor tertinggi berada pada indikator “upaya penyediaan informasi APBD oleh pemerintah daerah”.</w:t>
      </w:r>
      <w:proofErr w:type="gramEnd"/>
      <w:r>
        <w:rPr>
          <w:sz w:val="24"/>
          <w:szCs w:val="24"/>
        </w:rPr>
        <w:t xml:space="preserve"> </w:t>
      </w:r>
      <w:proofErr w:type="gramStart"/>
      <w:r>
        <w:rPr>
          <w:sz w:val="24"/>
          <w:szCs w:val="24"/>
        </w:rPr>
        <w:t>Peningkatan skor pada indikator ini menunjukkan adanya penyediaan informasi APBD yang lebih baik oleh pemerintah propinsi Sumatera Barat kepada publik.</w:t>
      </w:r>
      <w:proofErr w:type="gramEnd"/>
      <w:r>
        <w:rPr>
          <w:sz w:val="24"/>
          <w:szCs w:val="24"/>
        </w:rPr>
        <w:t xml:space="preserve"> </w:t>
      </w:r>
      <w:proofErr w:type="gramStart"/>
      <w:r>
        <w:rPr>
          <w:sz w:val="24"/>
          <w:szCs w:val="24"/>
        </w:rPr>
        <w:t>Selain indikator tersebut, indikator lainnya yang juga mengalami peningkatan pada aspek lembaga demokrasi adalah persentase perempuan dalam kepengurusan parpol.</w:t>
      </w:r>
      <w:proofErr w:type="gramEnd"/>
      <w:r>
        <w:rPr>
          <w:sz w:val="24"/>
          <w:szCs w:val="24"/>
        </w:rPr>
        <w:t xml:space="preserve"> </w:t>
      </w:r>
      <w:proofErr w:type="gramStart"/>
      <w:r>
        <w:rPr>
          <w:sz w:val="24"/>
          <w:szCs w:val="24"/>
        </w:rPr>
        <w:t>Untuk menaikkan skor pada indikator ini, Badan Kesbangpol telah melaksanakan kegiatan dialog politik bersama parpol, ormas dan tokoh masyarakat yang di dalamnya melibatkan kaum perempuan agar kepengurusan parpol tidak hanya didominasi oleh laki-laki saja.</w:t>
      </w:r>
      <w:proofErr w:type="gramEnd"/>
      <w:r>
        <w:rPr>
          <w:sz w:val="24"/>
          <w:szCs w:val="24"/>
        </w:rPr>
        <w:t xml:space="preserve"> </w:t>
      </w:r>
      <w:proofErr w:type="gramStart"/>
      <w:r>
        <w:rPr>
          <w:sz w:val="24"/>
          <w:szCs w:val="24"/>
        </w:rPr>
        <w:t>Dengan adanya kegiatan ini, diharapkan kaum perempuan termotivasi untuk terlibat dalam kepengurusan parpol.</w:t>
      </w:r>
      <w:proofErr w:type="gramEnd"/>
      <w:r>
        <w:rPr>
          <w:sz w:val="24"/>
          <w:szCs w:val="24"/>
        </w:rPr>
        <w:t xml:space="preserve"> </w:t>
      </w:r>
    </w:p>
    <w:p w:rsidR="007335FD" w:rsidRDefault="00815898">
      <w:pPr>
        <w:pStyle w:val="NoSpacing"/>
        <w:spacing w:line="360" w:lineRule="auto"/>
        <w:ind w:leftChars="200" w:left="440" w:firstLineChars="275" w:firstLine="660"/>
        <w:rPr>
          <w:rFonts w:cs="Tahoma"/>
          <w:sz w:val="24"/>
          <w:szCs w:val="24"/>
        </w:rPr>
      </w:pPr>
      <w:proofErr w:type="gramStart"/>
      <w:r>
        <w:rPr>
          <w:rFonts w:cs="Tahoma"/>
          <w:sz w:val="24"/>
          <w:szCs w:val="24"/>
        </w:rPr>
        <w:t>Badan Kesbangpol juga melakukan pemantauan tahapan Pemilu untuk mengantisipasi munculnya kecurangan-kecurangan dalam pelaksanaan Pemilu atau Pemilukada.</w:t>
      </w:r>
      <w:proofErr w:type="gramEnd"/>
      <w:r>
        <w:rPr>
          <w:rFonts w:cs="Tahoma"/>
          <w:sz w:val="24"/>
          <w:szCs w:val="24"/>
        </w:rPr>
        <w:t xml:space="preserve"> </w:t>
      </w:r>
      <w:proofErr w:type="gramStart"/>
      <w:r>
        <w:rPr>
          <w:rFonts w:cs="Tahoma"/>
          <w:sz w:val="24"/>
          <w:szCs w:val="24"/>
        </w:rPr>
        <w:t>Pemantauan Pemilu beserta tahapannya juga intens dilakukan dengan berkoordinasi dengan Bawaslu dan KPU untuk mencegah hambatan dalam menggunakan hak pilih.</w:t>
      </w:r>
      <w:proofErr w:type="gramEnd"/>
      <w:r>
        <w:rPr>
          <w:rFonts w:cs="Tahoma"/>
          <w:sz w:val="24"/>
          <w:szCs w:val="24"/>
        </w:rPr>
        <w:t xml:space="preserve"> </w:t>
      </w:r>
      <w:proofErr w:type="gramStart"/>
      <w:r>
        <w:rPr>
          <w:rFonts w:cs="Tahoma"/>
          <w:sz w:val="24"/>
          <w:szCs w:val="24"/>
        </w:rPr>
        <w:t>Untuk meningkatkan partisipasi masyarakat dalam Pemilu atau Pemilikada, Badan Kesbangpol melaksanakan kegiatan pendidikan politik bagi masyarakat khususnya untuk pemilih pemula di Sumatera Barat.</w:t>
      </w:r>
      <w:proofErr w:type="gramEnd"/>
      <w:r>
        <w:rPr>
          <w:rFonts w:cs="Tahoma"/>
          <w:sz w:val="24"/>
          <w:szCs w:val="24"/>
        </w:rPr>
        <w:t xml:space="preserve"> </w:t>
      </w:r>
      <w:proofErr w:type="gramStart"/>
      <w:r>
        <w:rPr>
          <w:rFonts w:cs="Tahoma"/>
          <w:sz w:val="24"/>
          <w:szCs w:val="24"/>
        </w:rPr>
        <w:t>Upaya-upaya ini merupakan salah satu faktor menunjang keberhasilan dalam meningkatkan nilai IDI di Sumbar.</w:t>
      </w:r>
      <w:proofErr w:type="gramEnd"/>
      <w:r>
        <w:rPr>
          <w:rFonts w:cs="Tahoma"/>
          <w:sz w:val="24"/>
          <w:szCs w:val="24"/>
        </w:rPr>
        <w:t xml:space="preserve"> </w:t>
      </w:r>
    </w:p>
    <w:p w:rsidR="007335FD" w:rsidRDefault="00815898">
      <w:pPr>
        <w:pStyle w:val="ListParagraph"/>
        <w:spacing w:after="0" w:line="360" w:lineRule="auto"/>
        <w:ind w:leftChars="200" w:left="440" w:firstLine="702"/>
        <w:jc w:val="both"/>
        <w:rPr>
          <w:rFonts w:cs="Tahoma"/>
          <w:sz w:val="24"/>
          <w:szCs w:val="24"/>
        </w:rPr>
      </w:pPr>
      <w:r>
        <w:rPr>
          <w:rFonts w:cs="Tahoma"/>
          <w:sz w:val="24"/>
          <w:szCs w:val="24"/>
        </w:rPr>
        <w:lastRenderedPageBreak/>
        <w:t>Namun</w:t>
      </w:r>
      <w:proofErr w:type="gramStart"/>
      <w:r>
        <w:rPr>
          <w:rFonts w:cs="Tahoma"/>
          <w:sz w:val="24"/>
          <w:szCs w:val="24"/>
        </w:rPr>
        <w:t>,dalam</w:t>
      </w:r>
      <w:proofErr w:type="gramEnd"/>
      <w:r>
        <w:rPr>
          <w:rFonts w:cs="Tahoma"/>
          <w:sz w:val="24"/>
          <w:szCs w:val="24"/>
        </w:rPr>
        <w:t xml:space="preserve"> upaya mendukung capaian kinerja sasaran meningkatnya nilai IDI di Sumbar, terdapat beberapa hambatan atau kendala diantaranya :</w:t>
      </w:r>
    </w:p>
    <w:p w:rsidR="007335FD" w:rsidRDefault="00815898">
      <w:pPr>
        <w:pStyle w:val="ListParagraph"/>
        <w:numPr>
          <w:ilvl w:val="0"/>
          <w:numId w:val="52"/>
        </w:numPr>
        <w:autoSpaceDE w:val="0"/>
        <w:autoSpaceDN w:val="0"/>
        <w:adjustRightInd w:val="0"/>
        <w:spacing w:after="0" w:line="360" w:lineRule="auto"/>
        <w:ind w:left="880" w:hanging="440"/>
        <w:jc w:val="both"/>
        <w:rPr>
          <w:rFonts w:cs="Aparajita"/>
          <w:sz w:val="24"/>
          <w:szCs w:val="24"/>
        </w:rPr>
      </w:pPr>
      <w:r>
        <w:rPr>
          <w:rFonts w:cs="Aparajita"/>
          <w:sz w:val="24"/>
          <w:szCs w:val="24"/>
        </w:rPr>
        <w:t xml:space="preserve">Belum optimalnya peran Pokja (Pokja) IDI di Sumatera Barat </w:t>
      </w:r>
    </w:p>
    <w:p w:rsidR="007335FD" w:rsidRDefault="00815898">
      <w:pPr>
        <w:pStyle w:val="ListParagraph"/>
        <w:numPr>
          <w:ilvl w:val="0"/>
          <w:numId w:val="52"/>
        </w:numPr>
        <w:autoSpaceDE w:val="0"/>
        <w:autoSpaceDN w:val="0"/>
        <w:adjustRightInd w:val="0"/>
        <w:spacing w:after="0" w:line="360" w:lineRule="auto"/>
        <w:ind w:left="880" w:hanging="440"/>
        <w:jc w:val="both"/>
        <w:rPr>
          <w:rFonts w:cs="Aparajita"/>
          <w:sz w:val="24"/>
          <w:szCs w:val="24"/>
        </w:rPr>
      </w:pPr>
      <w:r>
        <w:rPr>
          <w:rFonts w:cs="Aparajita"/>
          <w:sz w:val="24"/>
          <w:szCs w:val="24"/>
        </w:rPr>
        <w:t>Minimnya alokasi anggaran untuk mendorong peningkatan nilai IDI di Sumbar</w:t>
      </w:r>
    </w:p>
    <w:p w:rsidR="007335FD" w:rsidRDefault="00815898">
      <w:pPr>
        <w:pStyle w:val="ListParagraph"/>
        <w:numPr>
          <w:ilvl w:val="0"/>
          <w:numId w:val="52"/>
        </w:numPr>
        <w:autoSpaceDE w:val="0"/>
        <w:autoSpaceDN w:val="0"/>
        <w:adjustRightInd w:val="0"/>
        <w:spacing w:after="0" w:line="360" w:lineRule="auto"/>
        <w:ind w:left="660" w:hanging="220"/>
        <w:jc w:val="both"/>
        <w:rPr>
          <w:rFonts w:cs="Aparajita"/>
          <w:sz w:val="24"/>
          <w:szCs w:val="24"/>
        </w:rPr>
      </w:pPr>
      <w:r>
        <w:rPr>
          <w:rFonts w:cs="Aparajita"/>
          <w:sz w:val="24"/>
          <w:szCs w:val="24"/>
        </w:rPr>
        <w:t>Masih rendahnya pemahaman masyarakat tentang Indeks Demokrasi Indonesia (IDI) di Sumbar</w:t>
      </w:r>
    </w:p>
    <w:p w:rsidR="007335FD" w:rsidRDefault="00815898">
      <w:pPr>
        <w:pStyle w:val="ListParagraph"/>
        <w:numPr>
          <w:ilvl w:val="0"/>
          <w:numId w:val="52"/>
        </w:numPr>
        <w:autoSpaceDE w:val="0"/>
        <w:autoSpaceDN w:val="0"/>
        <w:adjustRightInd w:val="0"/>
        <w:spacing w:after="0" w:line="360" w:lineRule="auto"/>
        <w:ind w:left="660" w:hanging="220"/>
        <w:jc w:val="both"/>
        <w:rPr>
          <w:rFonts w:cs="Aparajita"/>
          <w:sz w:val="24"/>
          <w:szCs w:val="24"/>
        </w:rPr>
      </w:pPr>
      <w:r>
        <w:rPr>
          <w:rFonts w:cs="Aparajita"/>
          <w:sz w:val="24"/>
          <w:szCs w:val="24"/>
        </w:rPr>
        <w:t>Adanya tindakan atau pernyataan pejabat pemerintah daerah yang diskriminatif dalam hal gender, etnis atau terhadap kelompok rentan lainnya.</w:t>
      </w:r>
    </w:p>
    <w:p w:rsidR="007335FD" w:rsidRDefault="00815898">
      <w:pPr>
        <w:autoSpaceDE w:val="0"/>
        <w:autoSpaceDN w:val="0"/>
        <w:adjustRightInd w:val="0"/>
        <w:spacing w:after="0" w:line="360" w:lineRule="auto"/>
        <w:ind w:leftChars="199" w:left="438" w:firstLine="661"/>
        <w:jc w:val="both"/>
        <w:rPr>
          <w:rFonts w:cs="Aparajita"/>
          <w:sz w:val="24"/>
          <w:szCs w:val="24"/>
        </w:rPr>
      </w:pPr>
      <w:r>
        <w:rPr>
          <w:rFonts w:cs="Aparajita"/>
          <w:sz w:val="24"/>
          <w:szCs w:val="24"/>
        </w:rPr>
        <w:t xml:space="preserve">Adapun solusi yang akan dilakukan untuk peningkatan capaian indikator kinerja nilai Indeks Demokrasi Indonesia (IDI) di Sumbar ke depannya antara </w:t>
      </w:r>
      <w:proofErr w:type="gramStart"/>
      <w:r>
        <w:rPr>
          <w:rFonts w:cs="Aparajita"/>
          <w:sz w:val="24"/>
          <w:szCs w:val="24"/>
        </w:rPr>
        <w:t>lain ;</w:t>
      </w:r>
      <w:proofErr w:type="gramEnd"/>
    </w:p>
    <w:p w:rsidR="007335FD" w:rsidRDefault="00815898">
      <w:pPr>
        <w:pStyle w:val="ListParagraph"/>
        <w:numPr>
          <w:ilvl w:val="0"/>
          <w:numId w:val="53"/>
        </w:numPr>
        <w:autoSpaceDE w:val="0"/>
        <w:autoSpaceDN w:val="0"/>
        <w:adjustRightInd w:val="0"/>
        <w:spacing w:after="0" w:line="360" w:lineRule="auto"/>
        <w:ind w:left="880" w:hanging="284"/>
        <w:jc w:val="both"/>
        <w:rPr>
          <w:rFonts w:cs="Aparajita"/>
          <w:sz w:val="24"/>
          <w:szCs w:val="24"/>
        </w:rPr>
      </w:pPr>
      <w:r>
        <w:rPr>
          <w:rFonts w:cs="Aparajita"/>
          <w:sz w:val="24"/>
          <w:szCs w:val="24"/>
        </w:rPr>
        <w:t>Peningkatan efektivitas tim Pokja IDI</w:t>
      </w:r>
    </w:p>
    <w:p w:rsidR="007335FD" w:rsidRDefault="00815898">
      <w:pPr>
        <w:pStyle w:val="ListParagraph"/>
        <w:numPr>
          <w:ilvl w:val="0"/>
          <w:numId w:val="53"/>
        </w:numPr>
        <w:autoSpaceDE w:val="0"/>
        <w:autoSpaceDN w:val="0"/>
        <w:adjustRightInd w:val="0"/>
        <w:spacing w:after="0" w:line="360" w:lineRule="auto"/>
        <w:ind w:left="880" w:hanging="284"/>
        <w:jc w:val="both"/>
        <w:rPr>
          <w:rFonts w:cs="Aparajita"/>
          <w:sz w:val="24"/>
          <w:szCs w:val="24"/>
        </w:rPr>
      </w:pPr>
      <w:r>
        <w:rPr>
          <w:rFonts w:cs="Aparajita"/>
          <w:sz w:val="24"/>
          <w:szCs w:val="24"/>
        </w:rPr>
        <w:t>Peningkatan alokasi anggaran untuk mendukung peningkatan IDI</w:t>
      </w:r>
    </w:p>
    <w:p w:rsidR="007335FD" w:rsidRDefault="00815898">
      <w:pPr>
        <w:pStyle w:val="ListParagraph"/>
        <w:numPr>
          <w:ilvl w:val="0"/>
          <w:numId w:val="53"/>
        </w:numPr>
        <w:autoSpaceDE w:val="0"/>
        <w:autoSpaceDN w:val="0"/>
        <w:adjustRightInd w:val="0"/>
        <w:spacing w:after="0" w:line="360" w:lineRule="auto"/>
        <w:ind w:left="880" w:hanging="284"/>
        <w:jc w:val="both"/>
        <w:rPr>
          <w:rFonts w:cs="Aparajita"/>
          <w:sz w:val="24"/>
          <w:szCs w:val="24"/>
        </w:rPr>
      </w:pPr>
      <w:r>
        <w:rPr>
          <w:rFonts w:cs="Aparajita"/>
          <w:sz w:val="24"/>
          <w:szCs w:val="24"/>
        </w:rPr>
        <w:t>Diseminasi dan sosialisasi IDI ke stakeholder pembangunan di daerah</w:t>
      </w:r>
    </w:p>
    <w:p w:rsidR="007335FD" w:rsidRDefault="00815898">
      <w:pPr>
        <w:pStyle w:val="ListParagraph"/>
        <w:numPr>
          <w:ilvl w:val="0"/>
          <w:numId w:val="53"/>
        </w:numPr>
        <w:autoSpaceDE w:val="0"/>
        <w:autoSpaceDN w:val="0"/>
        <w:adjustRightInd w:val="0"/>
        <w:spacing w:after="0" w:line="360" w:lineRule="auto"/>
        <w:ind w:left="880" w:hanging="284"/>
        <w:jc w:val="both"/>
        <w:rPr>
          <w:rFonts w:cs="Aparajita"/>
          <w:sz w:val="24"/>
          <w:szCs w:val="24"/>
        </w:rPr>
      </w:pPr>
      <w:r>
        <w:rPr>
          <w:rFonts w:cs="Aparajita"/>
          <w:sz w:val="24"/>
          <w:szCs w:val="24"/>
        </w:rPr>
        <w:t xml:space="preserve">Pemanfaatan IDI oleh Pemerintah Provinsi </w:t>
      </w:r>
    </w:p>
    <w:p w:rsidR="007335FD" w:rsidRDefault="00815898">
      <w:pPr>
        <w:pStyle w:val="ListParagraph"/>
        <w:numPr>
          <w:ilvl w:val="0"/>
          <w:numId w:val="53"/>
        </w:numPr>
        <w:autoSpaceDE w:val="0"/>
        <w:autoSpaceDN w:val="0"/>
        <w:adjustRightInd w:val="0"/>
        <w:spacing w:after="0" w:line="360" w:lineRule="auto"/>
        <w:ind w:left="880" w:hanging="284"/>
        <w:jc w:val="both"/>
        <w:rPr>
          <w:rFonts w:cs="Aparajita"/>
          <w:b/>
          <w:sz w:val="24"/>
          <w:szCs w:val="24"/>
        </w:rPr>
      </w:pPr>
      <w:r>
        <w:rPr>
          <w:rFonts w:cs="Aparajita"/>
          <w:sz w:val="24"/>
          <w:szCs w:val="24"/>
        </w:rPr>
        <w:t>Melaksanakan rapat koordinasi dengan instansi terkait</w:t>
      </w:r>
    </w:p>
    <w:p w:rsidR="007335FD" w:rsidRDefault="007335FD">
      <w:pPr>
        <w:autoSpaceDE w:val="0"/>
        <w:autoSpaceDN w:val="0"/>
        <w:adjustRightInd w:val="0"/>
        <w:spacing w:after="0" w:line="360" w:lineRule="auto"/>
        <w:jc w:val="center"/>
        <w:rPr>
          <w:rFonts w:cs="Aparajita"/>
          <w:b/>
          <w:sz w:val="24"/>
          <w:szCs w:val="24"/>
        </w:rPr>
      </w:pPr>
    </w:p>
    <w:p w:rsidR="007335FD" w:rsidRDefault="00815898">
      <w:pPr>
        <w:autoSpaceDE w:val="0"/>
        <w:autoSpaceDN w:val="0"/>
        <w:adjustRightInd w:val="0"/>
        <w:spacing w:after="0" w:line="360" w:lineRule="auto"/>
        <w:ind w:leftChars="200" w:left="440" w:firstLine="720"/>
        <w:jc w:val="both"/>
        <w:rPr>
          <w:rFonts w:cs="Cambria"/>
          <w:sz w:val="24"/>
          <w:szCs w:val="24"/>
        </w:rPr>
      </w:pPr>
      <w:r>
        <w:rPr>
          <w:rFonts w:cs="Cambria"/>
          <w:sz w:val="24"/>
          <w:szCs w:val="24"/>
        </w:rPr>
        <w:t>Jika dibandingkan dengan target akhir Renstra, kinerja baru tercapai 71</w:t>
      </w:r>
      <w:proofErr w:type="gramStart"/>
      <w:r>
        <w:rPr>
          <w:rFonts w:cs="Cambria"/>
          <w:sz w:val="24"/>
          <w:szCs w:val="24"/>
        </w:rPr>
        <w:t>,59</w:t>
      </w:r>
      <w:proofErr w:type="gramEnd"/>
      <w:r>
        <w:rPr>
          <w:rFonts w:cs="Cambria"/>
          <w:sz w:val="24"/>
          <w:szCs w:val="24"/>
        </w:rPr>
        <w:t>%  sebagaimana dapat dilihat pada tabel di bawah ini :</w:t>
      </w:r>
    </w:p>
    <w:p w:rsidR="007335FD" w:rsidRDefault="00815898">
      <w:pPr>
        <w:pStyle w:val="NoSpacing"/>
        <w:jc w:val="center"/>
        <w:rPr>
          <w:rFonts w:hAnsi="Berlin Sans FB Demi"/>
          <w:b/>
          <w:bCs/>
          <w:sz w:val="24"/>
          <w:szCs w:val="24"/>
        </w:rPr>
      </w:pPr>
      <w:r>
        <w:rPr>
          <w:rFonts w:hAnsi="Berlin Sans FB Demi"/>
          <w:b/>
          <w:bCs/>
          <w:sz w:val="24"/>
          <w:szCs w:val="24"/>
        </w:rPr>
        <w:t>Tabel 3.24</w:t>
      </w:r>
    </w:p>
    <w:p w:rsidR="007335FD" w:rsidRDefault="00815898">
      <w:pPr>
        <w:pStyle w:val="NoSpacing"/>
        <w:jc w:val="center"/>
        <w:rPr>
          <w:rFonts w:hAnsi="Berlin Sans FB Demi"/>
          <w:b/>
          <w:bCs/>
          <w:sz w:val="24"/>
          <w:szCs w:val="24"/>
        </w:rPr>
      </w:pPr>
      <w:r>
        <w:rPr>
          <w:rFonts w:hAnsi="Berlin Sans FB Demi"/>
          <w:b/>
          <w:bCs/>
          <w:sz w:val="24"/>
          <w:szCs w:val="24"/>
        </w:rPr>
        <w:t>Perbandingan realisasi kinerja sampai dengan tahun 2021 dengan target jangka menengah yang terdapat dalam dokumen Renstra</w:t>
      </w:r>
    </w:p>
    <w:p w:rsidR="007335FD" w:rsidRDefault="007335FD">
      <w:pPr>
        <w:pStyle w:val="NoSpacing"/>
        <w:jc w:val="center"/>
        <w:rPr>
          <w:rFonts w:ascii="Berlin Sans FB Demi" w:hAnsi="Berlin Sans FB Demi"/>
          <w:sz w:val="24"/>
          <w:szCs w:val="24"/>
        </w:rPr>
      </w:pPr>
    </w:p>
    <w:tbl>
      <w:tblPr>
        <w:tblStyle w:val="TableGrid"/>
        <w:tblW w:w="9252" w:type="dxa"/>
        <w:tblInd w:w="439" w:type="dxa"/>
        <w:tblLayout w:type="fixed"/>
        <w:tblLook w:val="04A0" w:firstRow="1" w:lastRow="0" w:firstColumn="1" w:lastColumn="0" w:noHBand="0" w:noVBand="1"/>
      </w:tblPr>
      <w:tblGrid>
        <w:gridCol w:w="2611"/>
        <w:gridCol w:w="1027"/>
        <w:gridCol w:w="993"/>
        <w:gridCol w:w="1134"/>
        <w:gridCol w:w="708"/>
        <w:gridCol w:w="851"/>
        <w:gridCol w:w="1134"/>
        <w:gridCol w:w="794"/>
      </w:tblGrid>
      <w:tr w:rsidR="007335FD">
        <w:tc>
          <w:tcPr>
            <w:tcW w:w="2611"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INDIKATOR KINERJA</w:t>
            </w:r>
          </w:p>
        </w:tc>
        <w:tc>
          <w:tcPr>
            <w:tcW w:w="1027"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SATUAN</w:t>
            </w:r>
          </w:p>
        </w:tc>
        <w:tc>
          <w:tcPr>
            <w:tcW w:w="2127"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TAHUN 2018</w:t>
            </w:r>
          </w:p>
        </w:tc>
        <w:tc>
          <w:tcPr>
            <w:tcW w:w="708" w:type="dxa"/>
            <w:vMerge w:val="restart"/>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w:t>
            </w:r>
          </w:p>
        </w:tc>
        <w:tc>
          <w:tcPr>
            <w:tcW w:w="1985" w:type="dxa"/>
            <w:gridSpan w:val="2"/>
            <w:tcBorders>
              <w:bottom w:val="single" w:sz="4" w:space="0" w:color="auto"/>
            </w:tcBorders>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TAHUN 2021</w:t>
            </w:r>
          </w:p>
        </w:tc>
        <w:tc>
          <w:tcPr>
            <w:tcW w:w="794" w:type="dxa"/>
            <w:vMerge w:val="restart"/>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w:t>
            </w:r>
          </w:p>
        </w:tc>
      </w:tr>
      <w:tr w:rsidR="007335FD">
        <w:tc>
          <w:tcPr>
            <w:tcW w:w="2611" w:type="dxa"/>
            <w:vMerge/>
            <w:vAlign w:val="center"/>
          </w:tcPr>
          <w:p w:rsidR="007335FD" w:rsidRDefault="007335FD">
            <w:pPr>
              <w:autoSpaceDE w:val="0"/>
              <w:autoSpaceDN w:val="0"/>
              <w:adjustRightInd w:val="0"/>
              <w:spacing w:line="360" w:lineRule="auto"/>
              <w:jc w:val="center"/>
              <w:rPr>
                <w:rFonts w:cs="Cambria"/>
                <w:b/>
              </w:rPr>
            </w:pPr>
          </w:p>
        </w:tc>
        <w:tc>
          <w:tcPr>
            <w:tcW w:w="1027" w:type="dxa"/>
            <w:vMerge/>
            <w:vAlign w:val="center"/>
          </w:tcPr>
          <w:p w:rsidR="007335FD" w:rsidRDefault="007335FD">
            <w:pPr>
              <w:autoSpaceDE w:val="0"/>
              <w:autoSpaceDN w:val="0"/>
              <w:adjustRightInd w:val="0"/>
              <w:spacing w:line="360" w:lineRule="auto"/>
              <w:jc w:val="center"/>
              <w:rPr>
                <w:rFonts w:cs="Cambria"/>
                <w:b/>
              </w:rPr>
            </w:pPr>
          </w:p>
        </w:tc>
        <w:tc>
          <w:tcPr>
            <w:tcW w:w="993"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Target</w:t>
            </w:r>
          </w:p>
        </w:tc>
        <w:tc>
          <w:tcPr>
            <w:tcW w:w="1134"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Realisasi</w:t>
            </w:r>
          </w:p>
        </w:tc>
        <w:tc>
          <w:tcPr>
            <w:tcW w:w="708" w:type="dxa"/>
            <w:vMerge/>
            <w:shd w:val="clear" w:color="auto" w:fill="C00000"/>
            <w:vAlign w:val="center"/>
          </w:tcPr>
          <w:p w:rsidR="007335FD" w:rsidRDefault="007335FD">
            <w:pPr>
              <w:autoSpaceDE w:val="0"/>
              <w:autoSpaceDN w:val="0"/>
              <w:adjustRightInd w:val="0"/>
              <w:spacing w:line="360" w:lineRule="auto"/>
              <w:jc w:val="center"/>
              <w:rPr>
                <w:rFonts w:cs="Cambria"/>
                <w:b/>
              </w:rPr>
            </w:pPr>
          </w:p>
        </w:tc>
        <w:tc>
          <w:tcPr>
            <w:tcW w:w="851"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Target</w:t>
            </w:r>
          </w:p>
        </w:tc>
        <w:tc>
          <w:tcPr>
            <w:tcW w:w="1134" w:type="dxa"/>
            <w:shd w:val="clear" w:color="auto" w:fill="C00000"/>
            <w:vAlign w:val="center"/>
          </w:tcPr>
          <w:p w:rsidR="007335FD" w:rsidRDefault="00815898">
            <w:pPr>
              <w:autoSpaceDE w:val="0"/>
              <w:autoSpaceDN w:val="0"/>
              <w:adjustRightInd w:val="0"/>
              <w:spacing w:line="360" w:lineRule="auto"/>
              <w:jc w:val="center"/>
              <w:rPr>
                <w:rFonts w:cs="Cambria"/>
                <w:b/>
              </w:rPr>
            </w:pPr>
            <w:r>
              <w:rPr>
                <w:rFonts w:cs="Cambria"/>
                <w:b/>
              </w:rPr>
              <w:t>Realisasi s.d 2018</w:t>
            </w:r>
          </w:p>
        </w:tc>
        <w:tc>
          <w:tcPr>
            <w:tcW w:w="794" w:type="dxa"/>
            <w:vMerge/>
            <w:vAlign w:val="center"/>
          </w:tcPr>
          <w:p w:rsidR="007335FD" w:rsidRDefault="007335FD">
            <w:pPr>
              <w:autoSpaceDE w:val="0"/>
              <w:autoSpaceDN w:val="0"/>
              <w:adjustRightInd w:val="0"/>
              <w:spacing w:line="360" w:lineRule="auto"/>
              <w:jc w:val="center"/>
              <w:rPr>
                <w:rFonts w:cs="Cambria"/>
                <w:b/>
                <w:sz w:val="20"/>
                <w:szCs w:val="20"/>
              </w:rPr>
            </w:pPr>
          </w:p>
        </w:tc>
      </w:tr>
      <w:tr w:rsidR="007335FD">
        <w:tc>
          <w:tcPr>
            <w:tcW w:w="2611" w:type="dxa"/>
          </w:tcPr>
          <w:p w:rsidR="007335FD" w:rsidRDefault="00815898">
            <w:pPr>
              <w:pStyle w:val="NoSpacing"/>
              <w:jc w:val="left"/>
              <w:rPr>
                <w:rFonts w:cs="Cambria"/>
              </w:rPr>
            </w:pPr>
            <w:r>
              <w:rPr>
                <w:color w:val="000000" w:themeColor="text1"/>
                <w:sz w:val="24"/>
                <w:szCs w:val="24"/>
              </w:rPr>
              <w:t>Nilai Indeks Demokrasi Indonesia (IDI) di Sumbar</w:t>
            </w:r>
          </w:p>
        </w:tc>
        <w:tc>
          <w:tcPr>
            <w:tcW w:w="1027"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Nilai</w:t>
            </w:r>
          </w:p>
        </w:tc>
        <w:tc>
          <w:tcPr>
            <w:tcW w:w="993"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70</w:t>
            </w:r>
          </w:p>
        </w:tc>
        <w:tc>
          <w:tcPr>
            <w:tcW w:w="113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69,50</w:t>
            </w:r>
          </w:p>
        </w:tc>
        <w:tc>
          <w:tcPr>
            <w:tcW w:w="708"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99,28</w:t>
            </w:r>
          </w:p>
        </w:tc>
        <w:tc>
          <w:tcPr>
            <w:tcW w:w="851"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76</w:t>
            </w:r>
          </w:p>
        </w:tc>
        <w:tc>
          <w:tcPr>
            <w:tcW w:w="113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69,50</w:t>
            </w:r>
          </w:p>
        </w:tc>
        <w:tc>
          <w:tcPr>
            <w:tcW w:w="794" w:type="dxa"/>
          </w:tcPr>
          <w:p w:rsidR="007335FD" w:rsidRDefault="00815898">
            <w:pPr>
              <w:autoSpaceDE w:val="0"/>
              <w:autoSpaceDN w:val="0"/>
              <w:adjustRightInd w:val="0"/>
              <w:spacing w:line="360" w:lineRule="auto"/>
              <w:jc w:val="center"/>
              <w:rPr>
                <w:rFonts w:cs="Cambria"/>
                <w:sz w:val="20"/>
                <w:szCs w:val="20"/>
              </w:rPr>
            </w:pPr>
            <w:r>
              <w:rPr>
                <w:rFonts w:cs="Cambria"/>
                <w:sz w:val="20"/>
                <w:szCs w:val="20"/>
              </w:rPr>
              <w:t>91,44</w:t>
            </w:r>
          </w:p>
        </w:tc>
      </w:tr>
    </w:tbl>
    <w:p w:rsidR="007335FD" w:rsidRDefault="007335FD">
      <w:pPr>
        <w:autoSpaceDE w:val="0"/>
        <w:autoSpaceDN w:val="0"/>
        <w:adjustRightInd w:val="0"/>
        <w:spacing w:after="0" w:line="360" w:lineRule="auto"/>
        <w:jc w:val="both"/>
        <w:rPr>
          <w:rFonts w:cs="Aparajita"/>
          <w:b/>
          <w:sz w:val="24"/>
          <w:szCs w:val="24"/>
        </w:rPr>
      </w:pPr>
    </w:p>
    <w:p w:rsidR="007335FD" w:rsidRDefault="00815898">
      <w:pPr>
        <w:pStyle w:val="NoSpacing"/>
        <w:spacing w:line="360" w:lineRule="auto"/>
        <w:ind w:leftChars="200" w:left="440" w:firstLine="498"/>
        <w:rPr>
          <w:sz w:val="24"/>
          <w:szCs w:val="24"/>
        </w:rPr>
      </w:pPr>
      <w:r>
        <w:rPr>
          <w:rFonts w:cs="Aparajita"/>
          <w:bCs/>
          <w:sz w:val="24"/>
          <w:szCs w:val="24"/>
        </w:rPr>
        <w:t>Ad</w:t>
      </w:r>
      <w:r>
        <w:rPr>
          <w:rFonts w:cs="Cambria"/>
          <w:bCs/>
          <w:sz w:val="24"/>
          <w:szCs w:val="24"/>
        </w:rPr>
        <w:t xml:space="preserve">apun program/kegiatan yang dilaksanakan oleh Badan Kesbangpol Prov Sumbar untuk menunjang keberhasilan pencapaian kinerja sasaran meningkatnya kualitas </w:t>
      </w:r>
      <w:r>
        <w:rPr>
          <w:sz w:val="24"/>
          <w:szCs w:val="24"/>
        </w:rPr>
        <w:t xml:space="preserve">demokrasi di Sumatera Barat adalah Program Pendidikan Politik Masyarakat dengan kegiatan sebagai </w:t>
      </w:r>
      <w:proofErr w:type="gramStart"/>
      <w:r>
        <w:rPr>
          <w:sz w:val="24"/>
          <w:szCs w:val="24"/>
        </w:rPr>
        <w:t>berikut :</w:t>
      </w:r>
      <w:proofErr w:type="gramEnd"/>
    </w:p>
    <w:p w:rsidR="007335FD" w:rsidRDefault="007335FD">
      <w:pPr>
        <w:pStyle w:val="NoSpacing"/>
        <w:spacing w:line="360" w:lineRule="auto"/>
        <w:ind w:leftChars="200" w:left="440"/>
        <w:rPr>
          <w:rFonts w:eastAsia="Batang" w:cs="Aparajita"/>
          <w:sz w:val="24"/>
          <w:szCs w:val="24"/>
        </w:rPr>
      </w:pPr>
    </w:p>
    <w:p w:rsidR="007335FD" w:rsidRDefault="00815898">
      <w:pPr>
        <w:pStyle w:val="NoSpacing"/>
        <w:numPr>
          <w:ilvl w:val="0"/>
          <w:numId w:val="54"/>
        </w:numPr>
        <w:tabs>
          <w:tab w:val="clear" w:pos="425"/>
        </w:tabs>
        <w:spacing w:line="360" w:lineRule="auto"/>
        <w:ind w:left="880"/>
        <w:rPr>
          <w:sz w:val="24"/>
          <w:szCs w:val="24"/>
        </w:rPr>
      </w:pPr>
      <w:r>
        <w:rPr>
          <w:sz w:val="24"/>
          <w:szCs w:val="24"/>
        </w:rPr>
        <w:lastRenderedPageBreak/>
        <w:t>Dialog Politik bersama Parpol, Ormas dan Tokoh Masyarakat</w:t>
      </w:r>
    </w:p>
    <w:p w:rsidR="007335FD" w:rsidRDefault="00815898">
      <w:pPr>
        <w:pStyle w:val="NoSpacing"/>
        <w:numPr>
          <w:ilvl w:val="0"/>
          <w:numId w:val="54"/>
        </w:numPr>
        <w:tabs>
          <w:tab w:val="clear" w:pos="425"/>
        </w:tabs>
        <w:spacing w:line="360" w:lineRule="auto"/>
        <w:ind w:left="880"/>
        <w:rPr>
          <w:sz w:val="24"/>
          <w:szCs w:val="24"/>
        </w:rPr>
      </w:pPr>
      <w:r>
        <w:rPr>
          <w:sz w:val="24"/>
          <w:szCs w:val="24"/>
        </w:rPr>
        <w:t>Pengelolaan Bantuan Keuangan Partai Politik</w:t>
      </w:r>
    </w:p>
    <w:p w:rsidR="007335FD" w:rsidRDefault="00815898">
      <w:pPr>
        <w:pStyle w:val="NoSpacing"/>
        <w:numPr>
          <w:ilvl w:val="0"/>
          <w:numId w:val="54"/>
        </w:numPr>
        <w:tabs>
          <w:tab w:val="clear" w:pos="425"/>
        </w:tabs>
        <w:spacing w:line="360" w:lineRule="auto"/>
        <w:ind w:left="880"/>
        <w:rPr>
          <w:sz w:val="24"/>
          <w:szCs w:val="24"/>
        </w:rPr>
      </w:pPr>
      <w:r>
        <w:rPr>
          <w:sz w:val="24"/>
          <w:szCs w:val="24"/>
        </w:rPr>
        <w:t>Sosialisasi dan Pembinaan Ormas</w:t>
      </w:r>
    </w:p>
    <w:p w:rsidR="007335FD" w:rsidRDefault="00815898">
      <w:pPr>
        <w:pStyle w:val="NoSpacing"/>
        <w:numPr>
          <w:ilvl w:val="0"/>
          <w:numId w:val="54"/>
        </w:numPr>
        <w:tabs>
          <w:tab w:val="clear" w:pos="425"/>
        </w:tabs>
        <w:spacing w:line="360" w:lineRule="auto"/>
        <w:ind w:left="880"/>
        <w:rPr>
          <w:sz w:val="24"/>
          <w:szCs w:val="24"/>
        </w:rPr>
      </w:pPr>
      <w:r>
        <w:rPr>
          <w:sz w:val="24"/>
          <w:szCs w:val="24"/>
        </w:rPr>
        <w:t>Sosialisasi Undang-Undang dan Peraturan Bidang Politik</w:t>
      </w:r>
    </w:p>
    <w:p w:rsidR="007335FD" w:rsidRDefault="00815898">
      <w:pPr>
        <w:pStyle w:val="NoSpacing"/>
        <w:numPr>
          <w:ilvl w:val="0"/>
          <w:numId w:val="54"/>
        </w:numPr>
        <w:tabs>
          <w:tab w:val="clear" w:pos="425"/>
        </w:tabs>
        <w:spacing w:line="360" w:lineRule="auto"/>
        <w:ind w:left="880"/>
        <w:rPr>
          <w:sz w:val="24"/>
          <w:szCs w:val="24"/>
        </w:rPr>
      </w:pPr>
      <w:r>
        <w:rPr>
          <w:sz w:val="24"/>
          <w:szCs w:val="24"/>
        </w:rPr>
        <w:t>Forkomkon Jajaran Kesbagpol Provinsi dan Kabupaten/Kota di Sumbar</w:t>
      </w:r>
    </w:p>
    <w:p w:rsidR="007335FD" w:rsidRDefault="00815898">
      <w:pPr>
        <w:pStyle w:val="NoSpacing"/>
        <w:numPr>
          <w:ilvl w:val="0"/>
          <w:numId w:val="54"/>
        </w:numPr>
        <w:tabs>
          <w:tab w:val="clear" w:pos="425"/>
        </w:tabs>
        <w:spacing w:line="360" w:lineRule="auto"/>
        <w:ind w:left="660" w:hanging="205"/>
        <w:rPr>
          <w:sz w:val="24"/>
          <w:szCs w:val="24"/>
        </w:rPr>
      </w:pPr>
      <w:r>
        <w:rPr>
          <w:sz w:val="24"/>
          <w:szCs w:val="24"/>
        </w:rPr>
        <w:t>Monitoring dan Evaluasi Program dan Kegiatan serta Rapat Kerja Jajaran Kesbangpol Provinsi dengan Kabupaten/Kota</w:t>
      </w:r>
    </w:p>
    <w:p w:rsidR="007335FD" w:rsidRDefault="00815898">
      <w:pPr>
        <w:pStyle w:val="NoSpacing"/>
        <w:numPr>
          <w:ilvl w:val="0"/>
          <w:numId w:val="54"/>
        </w:numPr>
        <w:tabs>
          <w:tab w:val="clear" w:pos="425"/>
        </w:tabs>
        <w:spacing w:line="360" w:lineRule="auto"/>
        <w:ind w:left="880"/>
        <w:rPr>
          <w:sz w:val="24"/>
          <w:szCs w:val="24"/>
        </w:rPr>
      </w:pPr>
      <w:r>
        <w:rPr>
          <w:sz w:val="24"/>
          <w:szCs w:val="24"/>
        </w:rPr>
        <w:t>Sosialisasi dan Sinkronisasi Kelembagaan Jajaran Kesbangpol se-Sumatera Barat</w:t>
      </w:r>
    </w:p>
    <w:p w:rsidR="007335FD" w:rsidRDefault="00815898">
      <w:pPr>
        <w:pStyle w:val="NoSpacing"/>
        <w:numPr>
          <w:ilvl w:val="0"/>
          <w:numId w:val="54"/>
        </w:numPr>
        <w:tabs>
          <w:tab w:val="clear" w:pos="425"/>
        </w:tabs>
        <w:spacing w:line="360" w:lineRule="auto"/>
        <w:ind w:left="880"/>
        <w:rPr>
          <w:sz w:val="24"/>
          <w:szCs w:val="24"/>
        </w:rPr>
      </w:pPr>
      <w:r>
        <w:rPr>
          <w:sz w:val="24"/>
          <w:szCs w:val="24"/>
        </w:rPr>
        <w:t>Bimtek Pengajuan dan Pertanggungjawaban Bantuan Keuangan Partai Politik</w:t>
      </w:r>
    </w:p>
    <w:p w:rsidR="007335FD" w:rsidRDefault="00815898">
      <w:pPr>
        <w:pStyle w:val="NoSpacing"/>
        <w:numPr>
          <w:ilvl w:val="0"/>
          <w:numId w:val="54"/>
        </w:numPr>
        <w:tabs>
          <w:tab w:val="clear" w:pos="425"/>
        </w:tabs>
        <w:spacing w:line="360" w:lineRule="auto"/>
        <w:ind w:left="880"/>
        <w:rPr>
          <w:sz w:val="24"/>
          <w:szCs w:val="24"/>
        </w:rPr>
      </w:pPr>
      <w:r>
        <w:rPr>
          <w:sz w:val="24"/>
          <w:szCs w:val="24"/>
        </w:rPr>
        <w:t xml:space="preserve">Sosialisasi dan Penguatan Indeks Demokrasi Indonesia (IDI) </w:t>
      </w:r>
    </w:p>
    <w:p w:rsidR="007335FD" w:rsidRDefault="007335FD">
      <w:pPr>
        <w:pStyle w:val="NoSpacing"/>
        <w:spacing w:line="360" w:lineRule="auto"/>
        <w:ind w:left="1080"/>
        <w:rPr>
          <w:rFonts w:hAnsi="Berlin Sans FB Demi"/>
          <w:sz w:val="24"/>
          <w:szCs w:val="24"/>
        </w:rPr>
      </w:pPr>
    </w:p>
    <w:p w:rsidR="007335FD" w:rsidRDefault="00815898">
      <w:pPr>
        <w:pStyle w:val="ListParagraph"/>
        <w:ind w:leftChars="200" w:left="440"/>
        <w:rPr>
          <w:rFonts w:hAnsi="Stencil"/>
          <w:b/>
          <w:bCs/>
          <w:sz w:val="24"/>
          <w:szCs w:val="24"/>
          <w:u w:val="single"/>
        </w:rPr>
      </w:pPr>
      <w:proofErr w:type="gramStart"/>
      <w:r>
        <w:rPr>
          <w:rFonts w:hAnsi="Stencil"/>
          <w:b/>
          <w:bCs/>
          <w:sz w:val="24"/>
          <w:szCs w:val="24"/>
          <w:u w:val="single"/>
        </w:rPr>
        <w:t>EFISIENSI  PENGGUNAAN</w:t>
      </w:r>
      <w:proofErr w:type="gramEnd"/>
      <w:r>
        <w:rPr>
          <w:rFonts w:hAnsi="Stencil"/>
          <w:b/>
          <w:bCs/>
          <w:sz w:val="24"/>
          <w:szCs w:val="24"/>
          <w:u w:val="single"/>
        </w:rPr>
        <w:t xml:space="preserve"> SUMBER DAYA</w:t>
      </w:r>
    </w:p>
    <w:p w:rsidR="007335FD" w:rsidRDefault="00815898">
      <w:pPr>
        <w:autoSpaceDE w:val="0"/>
        <w:autoSpaceDN w:val="0"/>
        <w:adjustRightInd w:val="0"/>
        <w:spacing w:after="0" w:line="360" w:lineRule="auto"/>
        <w:ind w:leftChars="200" w:left="440" w:firstLineChars="275" w:firstLine="660"/>
        <w:jc w:val="both"/>
        <w:rPr>
          <w:rFonts w:cs="Cambria"/>
          <w:sz w:val="24"/>
          <w:szCs w:val="24"/>
        </w:rPr>
      </w:pPr>
      <w:proofErr w:type="gramStart"/>
      <w:r>
        <w:rPr>
          <w:rFonts w:cs="Cambria"/>
          <w:sz w:val="24"/>
          <w:szCs w:val="24"/>
        </w:rPr>
        <w:t>Efisiensi anggaran menunjukkan bagaimana sasaran dengan indikator yang dirumuskan telah berhasil dicapai dengan memanfaatkan sumber daya/ input tertentu.</w:t>
      </w:r>
      <w:proofErr w:type="gramEnd"/>
      <w:r>
        <w:rPr>
          <w:rFonts w:cs="Cambria"/>
          <w:sz w:val="24"/>
          <w:szCs w:val="24"/>
        </w:rPr>
        <w:t xml:space="preserve"> Semakin tinggi jumlah sumber daya yang dikeluarkan untuk mencapai keluaran tertentu, maka efisiensinya </w:t>
      </w:r>
      <w:proofErr w:type="gramStart"/>
      <w:r>
        <w:rPr>
          <w:rFonts w:cs="Cambria"/>
          <w:sz w:val="24"/>
          <w:szCs w:val="24"/>
        </w:rPr>
        <w:t>akan</w:t>
      </w:r>
      <w:proofErr w:type="gramEnd"/>
      <w:r>
        <w:rPr>
          <w:rFonts w:cs="Cambria"/>
          <w:sz w:val="24"/>
          <w:szCs w:val="24"/>
        </w:rPr>
        <w:t xml:space="preserve"> semakin rendah. Begitu juga sebaliknya, semakin rendah sumber daya yang dihabiskan untuk mencapai sasaran, maka efisiensi anggarannya </w:t>
      </w:r>
      <w:proofErr w:type="gramStart"/>
      <w:r>
        <w:rPr>
          <w:rFonts w:cs="Cambria"/>
          <w:sz w:val="24"/>
          <w:szCs w:val="24"/>
        </w:rPr>
        <w:t>akan</w:t>
      </w:r>
      <w:proofErr w:type="gramEnd"/>
      <w:r>
        <w:rPr>
          <w:rFonts w:cs="Cambria"/>
          <w:sz w:val="24"/>
          <w:szCs w:val="24"/>
        </w:rPr>
        <w:t xml:space="preserve"> semakin tinggi.</w:t>
      </w:r>
    </w:p>
    <w:p w:rsidR="007335FD" w:rsidRDefault="00815898">
      <w:pPr>
        <w:autoSpaceDE w:val="0"/>
        <w:autoSpaceDN w:val="0"/>
        <w:adjustRightInd w:val="0"/>
        <w:spacing w:after="0" w:line="360" w:lineRule="auto"/>
        <w:ind w:leftChars="200" w:left="440" w:firstLineChars="275" w:firstLine="660"/>
        <w:jc w:val="both"/>
        <w:rPr>
          <w:rFonts w:cs="Arial"/>
          <w:sz w:val="24"/>
          <w:szCs w:val="24"/>
        </w:rPr>
      </w:pPr>
      <w:proofErr w:type="gramStart"/>
      <w:r>
        <w:rPr>
          <w:rFonts w:cs="Cambria"/>
          <w:sz w:val="24"/>
          <w:szCs w:val="24"/>
        </w:rPr>
        <w:t xml:space="preserve">Pencapaian kinerja dan anggaran pada tahun 2018 secara umum menunjukkan tingkat efisiensi anggaran yang </w:t>
      </w:r>
      <w:r>
        <w:rPr>
          <w:rFonts w:cs="Cambria,Bold"/>
          <w:b/>
          <w:bCs/>
          <w:sz w:val="24"/>
          <w:szCs w:val="24"/>
        </w:rPr>
        <w:t>sangat tinggi</w:t>
      </w:r>
      <w:r>
        <w:rPr>
          <w:rFonts w:cs="Cambria"/>
          <w:sz w:val="24"/>
          <w:szCs w:val="24"/>
        </w:rPr>
        <w:t>.</w:t>
      </w:r>
      <w:proofErr w:type="gramEnd"/>
      <w:r>
        <w:rPr>
          <w:rFonts w:cs="Cambria"/>
          <w:sz w:val="24"/>
          <w:szCs w:val="24"/>
        </w:rPr>
        <w:t xml:space="preserve"> </w:t>
      </w:r>
      <w:proofErr w:type="gramStart"/>
      <w:r>
        <w:rPr>
          <w:rFonts w:cs="Cambria"/>
          <w:sz w:val="24"/>
          <w:szCs w:val="24"/>
        </w:rPr>
        <w:t>Hal ini bisa dilihat dari hasil pengukuran pencapaian sasaran dicapai rata-rata lebih dari 95%.</w:t>
      </w:r>
      <w:proofErr w:type="gramEnd"/>
      <w:r>
        <w:rPr>
          <w:rFonts w:cs="Cambria"/>
          <w:sz w:val="24"/>
          <w:szCs w:val="24"/>
        </w:rPr>
        <w:t xml:space="preserve"> </w:t>
      </w:r>
      <w:r>
        <w:rPr>
          <w:rFonts w:hAnsi="Tahoma" w:cs="Tahoma"/>
          <w:sz w:val="24"/>
          <w:szCs w:val="24"/>
        </w:rPr>
        <w:t>Untuk capaian keuangan hanya 96</w:t>
      </w:r>
      <w:proofErr w:type="gramStart"/>
      <w:r>
        <w:rPr>
          <w:rFonts w:hAnsi="Tahoma" w:cs="Tahoma"/>
          <w:sz w:val="24"/>
          <w:szCs w:val="24"/>
        </w:rPr>
        <w:t>,19</w:t>
      </w:r>
      <w:proofErr w:type="gramEnd"/>
      <w:r>
        <w:rPr>
          <w:rFonts w:hAnsi="Tahoma" w:cs="Tahoma"/>
          <w:sz w:val="24"/>
          <w:szCs w:val="24"/>
        </w:rPr>
        <w:t xml:space="preserve">% yang terealisasi dan terdapat 3,81 % anggaran pada Badan Kesbangpol Provinsi Sumatera Barat yang bersisa. </w:t>
      </w:r>
      <w:r>
        <w:rPr>
          <w:rFonts w:cs="Cambria"/>
          <w:sz w:val="24"/>
          <w:szCs w:val="24"/>
        </w:rPr>
        <w:t>Hal ini berarti terjadi efisiensi sebesar3</w:t>
      </w:r>
      <w:proofErr w:type="gramStart"/>
      <w:r>
        <w:rPr>
          <w:rFonts w:cs="Cambria"/>
          <w:sz w:val="24"/>
          <w:szCs w:val="24"/>
        </w:rPr>
        <w:t>,81</w:t>
      </w:r>
      <w:proofErr w:type="gramEnd"/>
      <w:r>
        <w:rPr>
          <w:rFonts w:cs="Cambria"/>
          <w:sz w:val="24"/>
          <w:szCs w:val="24"/>
        </w:rPr>
        <w:t xml:space="preserve"> % dari anggaran yang disediakan. Ini bisa bermakna bahwa secara umum, pencapaian kinerja dari aspek program telah dicapai dengan </w:t>
      </w:r>
      <w:proofErr w:type="gramStart"/>
      <w:r>
        <w:rPr>
          <w:rFonts w:cs="Cambria"/>
          <w:sz w:val="24"/>
          <w:szCs w:val="24"/>
        </w:rPr>
        <w:t>cara</w:t>
      </w:r>
      <w:proofErr w:type="gramEnd"/>
      <w:r>
        <w:rPr>
          <w:rFonts w:cs="Cambria"/>
          <w:sz w:val="24"/>
          <w:szCs w:val="24"/>
        </w:rPr>
        <w:t xml:space="preserve"> yang efisien karena realisasi anggarannya lebih kecil daripada yang ditargetkan.</w:t>
      </w:r>
    </w:p>
    <w:p w:rsidR="007335FD" w:rsidRDefault="00815898">
      <w:pPr>
        <w:autoSpaceDE w:val="0"/>
        <w:autoSpaceDN w:val="0"/>
        <w:adjustRightInd w:val="0"/>
        <w:spacing w:after="0" w:line="360" w:lineRule="auto"/>
        <w:ind w:leftChars="200" w:left="440" w:firstLineChars="275" w:firstLine="660"/>
        <w:jc w:val="both"/>
        <w:rPr>
          <w:rFonts w:cs="Cambria"/>
          <w:sz w:val="24"/>
          <w:szCs w:val="24"/>
        </w:rPr>
      </w:pPr>
      <w:proofErr w:type="gramStart"/>
      <w:r>
        <w:rPr>
          <w:rFonts w:cs="Cambria"/>
          <w:sz w:val="24"/>
          <w:szCs w:val="24"/>
        </w:rPr>
        <w:t>Bagian yang disajikan dalam tabel di bawah ini terkait dengan efisiensi anggaran untuk sasaran yang pencapaian kinerjanya mencapai atau lebih dari 95%.</w:t>
      </w:r>
      <w:proofErr w:type="gramEnd"/>
      <w:r>
        <w:rPr>
          <w:rFonts w:cs="Cambria"/>
          <w:sz w:val="24"/>
          <w:szCs w:val="24"/>
        </w:rPr>
        <w:t xml:space="preserve"> Tingkat efisiensi tertinggi dapat terlihat pada sasaran meningkatnya keamanan, ketentraman dan ketertiban </w:t>
      </w:r>
      <w:proofErr w:type="gramStart"/>
      <w:r>
        <w:rPr>
          <w:rFonts w:cs="Cambria"/>
          <w:sz w:val="24"/>
          <w:szCs w:val="24"/>
        </w:rPr>
        <w:t>masyarakat  yang</w:t>
      </w:r>
      <w:proofErr w:type="gramEnd"/>
      <w:r>
        <w:rPr>
          <w:rFonts w:cs="Cambria"/>
          <w:sz w:val="24"/>
          <w:szCs w:val="24"/>
        </w:rPr>
        <w:t xml:space="preserve"> mencapai 5,14 %, sedangkan tingkat efisiensi yang terendah </w:t>
      </w:r>
      <w:r>
        <w:rPr>
          <w:rFonts w:cs="Cambria"/>
          <w:sz w:val="24"/>
          <w:szCs w:val="24"/>
        </w:rPr>
        <w:lastRenderedPageBreak/>
        <w:t>ditunjukkan pada sasaran meningkatnya tata kelola organisasi yang hanya memiliki tingkat  efisiensi 1,87%.</w:t>
      </w:r>
    </w:p>
    <w:p w:rsidR="007335FD" w:rsidRDefault="00815898">
      <w:pPr>
        <w:autoSpaceDE w:val="0"/>
        <w:autoSpaceDN w:val="0"/>
        <w:adjustRightInd w:val="0"/>
        <w:spacing w:after="0" w:line="360" w:lineRule="auto"/>
        <w:ind w:leftChars="200" w:left="440" w:firstLineChars="275" w:firstLine="660"/>
        <w:jc w:val="both"/>
        <w:rPr>
          <w:rFonts w:cs="Aparajita"/>
          <w:sz w:val="24"/>
          <w:szCs w:val="24"/>
        </w:rPr>
      </w:pPr>
      <w:proofErr w:type="gramStart"/>
      <w:r>
        <w:rPr>
          <w:rFonts w:cs="Cambria"/>
          <w:sz w:val="24"/>
          <w:szCs w:val="24"/>
        </w:rPr>
        <w:t>Banyaknya sasaran yang berhasil dicapai dengan sumber daya yang efisien menunjukkan bahwa efisiensi anggaran telah mencapai tingkat yang tinggi ataupun sangat tinggi.</w:t>
      </w:r>
      <w:proofErr w:type="gramEnd"/>
      <w:r>
        <w:rPr>
          <w:rFonts w:cs="Cambria"/>
          <w:sz w:val="24"/>
          <w:szCs w:val="24"/>
        </w:rPr>
        <w:t xml:space="preserve"> </w:t>
      </w:r>
      <w:proofErr w:type="gramStart"/>
      <w:r>
        <w:rPr>
          <w:rFonts w:cs="Cambria"/>
          <w:sz w:val="24"/>
          <w:szCs w:val="24"/>
        </w:rPr>
        <w:t>Kondisi ini sejalan dengan prinsip pengelolaan anggaran publik dan lebih jauh, juga sejalan dengan prinsip pemerintahan yang baik, yang salah satunya adalah pengelolaan sumber daya anggaran yang efisien dalam mencapai tujuan dan sasaran pembangunan.</w:t>
      </w:r>
      <w:proofErr w:type="gramEnd"/>
    </w:p>
    <w:p w:rsidR="007335FD" w:rsidRDefault="00815898">
      <w:pPr>
        <w:pStyle w:val="NoSpacing"/>
        <w:jc w:val="center"/>
        <w:rPr>
          <w:rFonts w:hAnsi="Berlin Sans FB Demi"/>
          <w:b/>
          <w:bCs/>
          <w:sz w:val="24"/>
          <w:szCs w:val="24"/>
        </w:rPr>
      </w:pPr>
      <w:r>
        <w:rPr>
          <w:rFonts w:hAnsi="Berlin Sans FB Demi"/>
          <w:b/>
          <w:bCs/>
          <w:sz w:val="24"/>
          <w:szCs w:val="24"/>
        </w:rPr>
        <w:t>Tabel 3.25</w:t>
      </w:r>
    </w:p>
    <w:p w:rsidR="007335FD" w:rsidRDefault="00815898">
      <w:pPr>
        <w:pStyle w:val="NoSpacing"/>
        <w:jc w:val="center"/>
        <w:rPr>
          <w:rFonts w:hAnsi="Berlin Sans FB Demi" w:cs="Cambria,Bold"/>
          <w:b/>
          <w:bCs/>
          <w:sz w:val="24"/>
          <w:szCs w:val="24"/>
        </w:rPr>
      </w:pPr>
      <w:r>
        <w:rPr>
          <w:rFonts w:hAnsi="Berlin Sans FB Demi" w:cs="Cambria,Bold"/>
          <w:b/>
          <w:bCs/>
          <w:sz w:val="24"/>
          <w:szCs w:val="24"/>
        </w:rPr>
        <w:t>Efisiensi Penggunaan Sumber Daya</w:t>
      </w:r>
    </w:p>
    <w:tbl>
      <w:tblPr>
        <w:tblStyle w:val="TableGrid"/>
        <w:tblW w:w="9549" w:type="dxa"/>
        <w:tblLayout w:type="fixed"/>
        <w:tblLook w:val="04A0" w:firstRow="1" w:lastRow="0" w:firstColumn="1" w:lastColumn="0" w:noHBand="0" w:noVBand="1"/>
      </w:tblPr>
      <w:tblGrid>
        <w:gridCol w:w="675"/>
        <w:gridCol w:w="2507"/>
        <w:gridCol w:w="1888"/>
        <w:gridCol w:w="1417"/>
        <w:gridCol w:w="1701"/>
        <w:gridCol w:w="1361"/>
      </w:tblGrid>
      <w:tr w:rsidR="007335FD">
        <w:tc>
          <w:tcPr>
            <w:tcW w:w="675" w:type="dxa"/>
            <w:shd w:val="clear" w:color="auto" w:fill="C00000"/>
            <w:vAlign w:val="center"/>
          </w:tcPr>
          <w:p w:rsidR="007335FD" w:rsidRDefault="00815898">
            <w:pPr>
              <w:autoSpaceDE w:val="0"/>
              <w:autoSpaceDN w:val="0"/>
              <w:adjustRightInd w:val="0"/>
              <w:spacing w:line="360" w:lineRule="auto"/>
              <w:jc w:val="center"/>
              <w:rPr>
                <w:rFonts w:cs="Aparajita"/>
                <w:b/>
              </w:rPr>
            </w:pPr>
            <w:r>
              <w:rPr>
                <w:rFonts w:cs="Aparajita"/>
                <w:b/>
              </w:rPr>
              <w:t>No</w:t>
            </w:r>
          </w:p>
        </w:tc>
        <w:tc>
          <w:tcPr>
            <w:tcW w:w="2507" w:type="dxa"/>
            <w:shd w:val="clear" w:color="auto" w:fill="C00000"/>
            <w:vAlign w:val="center"/>
          </w:tcPr>
          <w:p w:rsidR="007335FD" w:rsidRDefault="00815898">
            <w:pPr>
              <w:autoSpaceDE w:val="0"/>
              <w:autoSpaceDN w:val="0"/>
              <w:adjustRightInd w:val="0"/>
              <w:spacing w:line="360" w:lineRule="auto"/>
              <w:jc w:val="center"/>
              <w:rPr>
                <w:rFonts w:cs="Aparajita"/>
                <w:b/>
              </w:rPr>
            </w:pPr>
            <w:r>
              <w:rPr>
                <w:rFonts w:cs="Aparajita"/>
                <w:b/>
              </w:rPr>
              <w:t>Sasaran</w:t>
            </w:r>
          </w:p>
        </w:tc>
        <w:tc>
          <w:tcPr>
            <w:tcW w:w="1888" w:type="dxa"/>
            <w:shd w:val="clear" w:color="auto" w:fill="C00000"/>
            <w:vAlign w:val="center"/>
          </w:tcPr>
          <w:p w:rsidR="007335FD" w:rsidRDefault="00815898">
            <w:pPr>
              <w:autoSpaceDE w:val="0"/>
              <w:autoSpaceDN w:val="0"/>
              <w:adjustRightInd w:val="0"/>
              <w:spacing w:line="360" w:lineRule="auto"/>
              <w:jc w:val="center"/>
              <w:rPr>
                <w:rFonts w:cs="Aparajita"/>
                <w:b/>
              </w:rPr>
            </w:pPr>
            <w:r>
              <w:rPr>
                <w:rFonts w:cs="Aparajita"/>
                <w:b/>
              </w:rPr>
              <w:t>Indikator Kinerja</w:t>
            </w:r>
          </w:p>
        </w:tc>
        <w:tc>
          <w:tcPr>
            <w:tcW w:w="1417" w:type="dxa"/>
            <w:shd w:val="clear" w:color="auto" w:fill="C00000"/>
            <w:vAlign w:val="center"/>
          </w:tcPr>
          <w:p w:rsidR="007335FD" w:rsidRDefault="00815898">
            <w:pPr>
              <w:autoSpaceDE w:val="0"/>
              <w:autoSpaceDN w:val="0"/>
              <w:adjustRightInd w:val="0"/>
              <w:spacing w:line="360" w:lineRule="auto"/>
              <w:jc w:val="center"/>
              <w:rPr>
                <w:rFonts w:cs="Aparajita"/>
                <w:b/>
              </w:rPr>
            </w:pPr>
            <w:r>
              <w:rPr>
                <w:rFonts w:cs="Aparajita"/>
                <w:b/>
              </w:rPr>
              <w:t>% Capaian Kinerja</w:t>
            </w:r>
          </w:p>
        </w:tc>
        <w:tc>
          <w:tcPr>
            <w:tcW w:w="1701" w:type="dxa"/>
            <w:shd w:val="clear" w:color="auto" w:fill="C00000"/>
            <w:vAlign w:val="center"/>
          </w:tcPr>
          <w:p w:rsidR="007335FD" w:rsidRDefault="00815898">
            <w:pPr>
              <w:autoSpaceDE w:val="0"/>
              <w:autoSpaceDN w:val="0"/>
              <w:adjustRightInd w:val="0"/>
              <w:spacing w:line="360" w:lineRule="auto"/>
              <w:jc w:val="center"/>
              <w:rPr>
                <w:rFonts w:cs="Aparajita"/>
                <w:b/>
              </w:rPr>
            </w:pPr>
            <w:r>
              <w:rPr>
                <w:rFonts w:cs="Aparajita"/>
                <w:b/>
              </w:rPr>
              <w:t>% Penyerapan Anggaran</w:t>
            </w:r>
          </w:p>
        </w:tc>
        <w:tc>
          <w:tcPr>
            <w:tcW w:w="1361" w:type="dxa"/>
            <w:shd w:val="clear" w:color="auto" w:fill="C00000"/>
            <w:vAlign w:val="center"/>
          </w:tcPr>
          <w:p w:rsidR="007335FD" w:rsidRDefault="00815898">
            <w:pPr>
              <w:autoSpaceDE w:val="0"/>
              <w:autoSpaceDN w:val="0"/>
              <w:adjustRightInd w:val="0"/>
              <w:spacing w:line="360" w:lineRule="auto"/>
              <w:jc w:val="center"/>
              <w:rPr>
                <w:rFonts w:cs="Aparajita"/>
                <w:b/>
              </w:rPr>
            </w:pPr>
            <w:r>
              <w:rPr>
                <w:rFonts w:cs="Aparajita"/>
                <w:b/>
              </w:rPr>
              <w:t>Tingkat Efisiensi</w:t>
            </w:r>
          </w:p>
        </w:tc>
      </w:tr>
      <w:tr w:rsidR="007335FD">
        <w:tc>
          <w:tcPr>
            <w:tcW w:w="675" w:type="dxa"/>
          </w:tcPr>
          <w:p w:rsidR="007335FD" w:rsidRDefault="00815898">
            <w:pPr>
              <w:autoSpaceDE w:val="0"/>
              <w:autoSpaceDN w:val="0"/>
              <w:adjustRightInd w:val="0"/>
              <w:spacing w:line="360" w:lineRule="auto"/>
              <w:jc w:val="center"/>
              <w:rPr>
                <w:rFonts w:cs="Aparajita"/>
              </w:rPr>
            </w:pPr>
            <w:r>
              <w:rPr>
                <w:rFonts w:cs="Aparajita"/>
              </w:rPr>
              <w:t>1</w:t>
            </w:r>
          </w:p>
        </w:tc>
        <w:tc>
          <w:tcPr>
            <w:tcW w:w="2507" w:type="dxa"/>
          </w:tcPr>
          <w:p w:rsidR="007335FD" w:rsidRDefault="00815898">
            <w:pPr>
              <w:pStyle w:val="NoSpacing"/>
              <w:rPr>
                <w:sz w:val="22"/>
                <w:szCs w:val="22"/>
              </w:rPr>
            </w:pPr>
            <w:r>
              <w:rPr>
                <w:sz w:val="22"/>
                <w:szCs w:val="22"/>
              </w:rPr>
              <w:t xml:space="preserve">Meningkatnya tata kelola organisasi </w:t>
            </w:r>
          </w:p>
        </w:tc>
        <w:tc>
          <w:tcPr>
            <w:tcW w:w="1888" w:type="dxa"/>
          </w:tcPr>
          <w:p w:rsidR="007335FD" w:rsidRDefault="00815898">
            <w:pPr>
              <w:pStyle w:val="NoSpacing"/>
              <w:numPr>
                <w:ilvl w:val="0"/>
                <w:numId w:val="55"/>
              </w:numPr>
              <w:ind w:left="220" w:hanging="283"/>
              <w:rPr>
                <w:sz w:val="22"/>
                <w:szCs w:val="22"/>
              </w:rPr>
            </w:pPr>
            <w:r>
              <w:rPr>
                <w:sz w:val="22"/>
                <w:szCs w:val="22"/>
              </w:rPr>
              <w:t xml:space="preserve">Nilai Evaluasi Akuntabilitas Kinerja </w:t>
            </w:r>
          </w:p>
          <w:p w:rsidR="007335FD" w:rsidRDefault="00815898">
            <w:pPr>
              <w:pStyle w:val="NoSpacing"/>
              <w:numPr>
                <w:ilvl w:val="0"/>
                <w:numId w:val="55"/>
              </w:numPr>
              <w:ind w:left="220" w:hanging="283"/>
              <w:rPr>
                <w:sz w:val="22"/>
                <w:szCs w:val="22"/>
              </w:rPr>
            </w:pPr>
            <w:r>
              <w:rPr>
                <w:sz w:val="22"/>
                <w:szCs w:val="22"/>
              </w:rPr>
              <w:t>Persentase capaian realisasi fisik dan keuangan pelaksanaan  program/</w:t>
            </w:r>
          </w:p>
          <w:p w:rsidR="007335FD" w:rsidRDefault="00815898">
            <w:pPr>
              <w:pStyle w:val="NoSpacing"/>
              <w:ind w:left="142"/>
              <w:rPr>
                <w:sz w:val="22"/>
                <w:szCs w:val="22"/>
              </w:rPr>
            </w:pPr>
            <w:r>
              <w:rPr>
                <w:sz w:val="22"/>
                <w:szCs w:val="22"/>
              </w:rPr>
              <w:t>kegiatan</w:t>
            </w:r>
          </w:p>
        </w:tc>
        <w:tc>
          <w:tcPr>
            <w:tcW w:w="1417" w:type="dxa"/>
          </w:tcPr>
          <w:p w:rsidR="007335FD" w:rsidRDefault="00815898">
            <w:pPr>
              <w:autoSpaceDE w:val="0"/>
              <w:autoSpaceDN w:val="0"/>
              <w:adjustRightInd w:val="0"/>
              <w:spacing w:line="360" w:lineRule="auto"/>
              <w:jc w:val="center"/>
              <w:rPr>
                <w:rFonts w:cs="Aparajita"/>
              </w:rPr>
            </w:pPr>
            <w:r>
              <w:rPr>
                <w:rFonts w:cs="Aparajita"/>
              </w:rPr>
              <w:t>84,45</w:t>
            </w: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105,06</w:t>
            </w:r>
          </w:p>
          <w:p w:rsidR="007335FD" w:rsidRDefault="00815898">
            <w:pPr>
              <w:autoSpaceDE w:val="0"/>
              <w:autoSpaceDN w:val="0"/>
              <w:adjustRightInd w:val="0"/>
              <w:spacing w:line="360" w:lineRule="auto"/>
              <w:jc w:val="center"/>
              <w:rPr>
                <w:rFonts w:cs="Aparajita"/>
              </w:rPr>
            </w:pPr>
            <w:r>
              <w:rPr>
                <w:rFonts w:cs="Aparajita"/>
              </w:rPr>
              <w:t>(fisik)</w:t>
            </w:r>
          </w:p>
          <w:p w:rsidR="007335FD" w:rsidRDefault="00815898">
            <w:pPr>
              <w:autoSpaceDE w:val="0"/>
              <w:autoSpaceDN w:val="0"/>
              <w:adjustRightInd w:val="0"/>
              <w:spacing w:line="360" w:lineRule="auto"/>
              <w:jc w:val="center"/>
              <w:rPr>
                <w:rFonts w:cs="Aparajita"/>
              </w:rPr>
            </w:pPr>
            <w:r>
              <w:rPr>
                <w:rFonts w:cs="Aparajita"/>
              </w:rPr>
              <w:t>101,25</w:t>
            </w:r>
          </w:p>
          <w:p w:rsidR="007335FD" w:rsidRDefault="00815898">
            <w:pPr>
              <w:autoSpaceDE w:val="0"/>
              <w:autoSpaceDN w:val="0"/>
              <w:adjustRightInd w:val="0"/>
              <w:spacing w:line="360" w:lineRule="auto"/>
              <w:jc w:val="center"/>
              <w:rPr>
                <w:rFonts w:cs="Aparajita"/>
              </w:rPr>
            </w:pPr>
            <w:r>
              <w:rPr>
                <w:rFonts w:cs="Aparajita"/>
              </w:rPr>
              <w:t>(keuangan)</w:t>
            </w:r>
          </w:p>
        </w:tc>
        <w:tc>
          <w:tcPr>
            <w:tcW w:w="1701" w:type="dxa"/>
          </w:tcPr>
          <w:p w:rsidR="007335FD" w:rsidRDefault="00815898">
            <w:pPr>
              <w:autoSpaceDE w:val="0"/>
              <w:autoSpaceDN w:val="0"/>
              <w:adjustRightInd w:val="0"/>
              <w:spacing w:line="360" w:lineRule="auto"/>
              <w:jc w:val="center"/>
              <w:rPr>
                <w:rFonts w:cs="Aparajita"/>
              </w:rPr>
            </w:pPr>
            <w:r>
              <w:rPr>
                <w:rFonts w:cs="Aparajita"/>
              </w:rPr>
              <w:t>98,13%</w:t>
            </w:r>
          </w:p>
        </w:tc>
        <w:tc>
          <w:tcPr>
            <w:tcW w:w="1361" w:type="dxa"/>
          </w:tcPr>
          <w:p w:rsidR="007335FD" w:rsidRDefault="00815898">
            <w:pPr>
              <w:autoSpaceDE w:val="0"/>
              <w:autoSpaceDN w:val="0"/>
              <w:adjustRightInd w:val="0"/>
              <w:spacing w:line="360" w:lineRule="auto"/>
              <w:jc w:val="center"/>
              <w:rPr>
                <w:rFonts w:cs="Aparajita"/>
              </w:rPr>
            </w:pPr>
            <w:r>
              <w:rPr>
                <w:rFonts w:cs="Aparajita"/>
              </w:rPr>
              <w:t>1,87%</w:t>
            </w:r>
          </w:p>
        </w:tc>
      </w:tr>
      <w:tr w:rsidR="007335FD">
        <w:tc>
          <w:tcPr>
            <w:tcW w:w="675" w:type="dxa"/>
          </w:tcPr>
          <w:p w:rsidR="007335FD" w:rsidRDefault="00815898">
            <w:pPr>
              <w:autoSpaceDE w:val="0"/>
              <w:autoSpaceDN w:val="0"/>
              <w:adjustRightInd w:val="0"/>
              <w:spacing w:line="360" w:lineRule="auto"/>
              <w:jc w:val="center"/>
              <w:rPr>
                <w:rFonts w:cs="Aparajita"/>
              </w:rPr>
            </w:pPr>
            <w:r>
              <w:rPr>
                <w:rFonts w:cs="Aparajita"/>
              </w:rPr>
              <w:t>2</w:t>
            </w:r>
          </w:p>
        </w:tc>
        <w:tc>
          <w:tcPr>
            <w:tcW w:w="2507" w:type="dxa"/>
          </w:tcPr>
          <w:p w:rsidR="007335FD" w:rsidRDefault="00815898">
            <w:pPr>
              <w:pStyle w:val="NoSpacing"/>
              <w:jc w:val="left"/>
              <w:rPr>
                <w:sz w:val="22"/>
                <w:szCs w:val="22"/>
              </w:rPr>
            </w:pPr>
            <w:r>
              <w:rPr>
                <w:sz w:val="22"/>
                <w:szCs w:val="22"/>
              </w:rPr>
              <w:t>Meningkatnya keamanan, ketentraman, dan ketertiban masyarakat</w:t>
            </w:r>
          </w:p>
        </w:tc>
        <w:tc>
          <w:tcPr>
            <w:tcW w:w="1888" w:type="dxa"/>
          </w:tcPr>
          <w:p w:rsidR="007335FD" w:rsidRDefault="00815898">
            <w:pPr>
              <w:pStyle w:val="NoSpacing"/>
              <w:numPr>
                <w:ilvl w:val="0"/>
                <w:numId w:val="56"/>
              </w:numPr>
              <w:ind w:left="248" w:hanging="311"/>
              <w:rPr>
                <w:sz w:val="22"/>
                <w:szCs w:val="22"/>
              </w:rPr>
            </w:pPr>
            <w:r>
              <w:rPr>
                <w:sz w:val="22"/>
                <w:szCs w:val="22"/>
              </w:rPr>
              <w:t>Persentase penurunan konflik sosial di Sumbar</w:t>
            </w:r>
          </w:p>
          <w:p w:rsidR="007335FD" w:rsidRDefault="00815898">
            <w:pPr>
              <w:pStyle w:val="NoSpacing"/>
              <w:numPr>
                <w:ilvl w:val="0"/>
                <w:numId w:val="56"/>
              </w:numPr>
              <w:ind w:left="248" w:hanging="311"/>
              <w:rPr>
                <w:sz w:val="22"/>
                <w:szCs w:val="22"/>
              </w:rPr>
            </w:pPr>
            <w:r>
              <w:rPr>
                <w:sz w:val="22"/>
                <w:szCs w:val="22"/>
              </w:rPr>
              <w:t>Persentase penurunan angka kriminalitas di Sumbar</w:t>
            </w:r>
          </w:p>
        </w:tc>
        <w:tc>
          <w:tcPr>
            <w:tcW w:w="1417" w:type="dxa"/>
          </w:tcPr>
          <w:p w:rsidR="007335FD" w:rsidRDefault="00815898">
            <w:pPr>
              <w:autoSpaceDE w:val="0"/>
              <w:autoSpaceDN w:val="0"/>
              <w:adjustRightInd w:val="0"/>
              <w:spacing w:line="360" w:lineRule="auto"/>
              <w:jc w:val="center"/>
              <w:rPr>
                <w:rFonts w:cs="Aparajita"/>
              </w:rPr>
            </w:pPr>
            <w:r>
              <w:rPr>
                <w:rFonts w:cs="Aparajita"/>
              </w:rPr>
              <w:t>66</w:t>
            </w:r>
          </w:p>
          <w:p w:rsidR="007335FD" w:rsidRDefault="007335FD">
            <w:pPr>
              <w:autoSpaceDE w:val="0"/>
              <w:autoSpaceDN w:val="0"/>
              <w:adjustRightInd w:val="0"/>
              <w:spacing w:line="360" w:lineRule="auto"/>
              <w:jc w:val="center"/>
              <w:rPr>
                <w:rFonts w:cs="Aparajita"/>
              </w:rPr>
            </w:pPr>
          </w:p>
          <w:p w:rsidR="007335FD" w:rsidRDefault="007335FD">
            <w:pPr>
              <w:autoSpaceDE w:val="0"/>
              <w:autoSpaceDN w:val="0"/>
              <w:adjustRightInd w:val="0"/>
              <w:spacing w:line="360" w:lineRule="auto"/>
              <w:jc w:val="center"/>
              <w:rPr>
                <w:rFonts w:cs="Aparajita"/>
              </w:rPr>
            </w:pPr>
          </w:p>
          <w:p w:rsidR="007335FD" w:rsidRDefault="00815898">
            <w:pPr>
              <w:autoSpaceDE w:val="0"/>
              <w:autoSpaceDN w:val="0"/>
              <w:adjustRightInd w:val="0"/>
              <w:spacing w:line="360" w:lineRule="auto"/>
              <w:jc w:val="center"/>
              <w:rPr>
                <w:rFonts w:cs="Aparajita"/>
              </w:rPr>
            </w:pPr>
            <w:r>
              <w:rPr>
                <w:rFonts w:cs="Aparajita"/>
              </w:rPr>
              <w:t>170</w:t>
            </w:r>
          </w:p>
        </w:tc>
        <w:tc>
          <w:tcPr>
            <w:tcW w:w="1701" w:type="dxa"/>
          </w:tcPr>
          <w:p w:rsidR="007335FD" w:rsidRDefault="00815898">
            <w:pPr>
              <w:autoSpaceDE w:val="0"/>
              <w:autoSpaceDN w:val="0"/>
              <w:adjustRightInd w:val="0"/>
              <w:spacing w:line="360" w:lineRule="auto"/>
              <w:jc w:val="center"/>
              <w:rPr>
                <w:rFonts w:cs="Aparajita"/>
              </w:rPr>
            </w:pPr>
            <w:r>
              <w:rPr>
                <w:rFonts w:cs="Aparajita"/>
              </w:rPr>
              <w:t>94,86%</w:t>
            </w:r>
          </w:p>
        </w:tc>
        <w:tc>
          <w:tcPr>
            <w:tcW w:w="1361" w:type="dxa"/>
          </w:tcPr>
          <w:p w:rsidR="007335FD" w:rsidRDefault="00815898">
            <w:pPr>
              <w:autoSpaceDE w:val="0"/>
              <w:autoSpaceDN w:val="0"/>
              <w:adjustRightInd w:val="0"/>
              <w:spacing w:line="360" w:lineRule="auto"/>
              <w:jc w:val="center"/>
              <w:rPr>
                <w:rFonts w:cs="Aparajita"/>
              </w:rPr>
            </w:pPr>
            <w:r>
              <w:rPr>
                <w:rFonts w:cs="Aparajita"/>
              </w:rPr>
              <w:t>5,14%</w:t>
            </w:r>
          </w:p>
        </w:tc>
      </w:tr>
      <w:tr w:rsidR="007335FD">
        <w:tc>
          <w:tcPr>
            <w:tcW w:w="675" w:type="dxa"/>
          </w:tcPr>
          <w:p w:rsidR="007335FD" w:rsidRDefault="00815898">
            <w:pPr>
              <w:autoSpaceDE w:val="0"/>
              <w:autoSpaceDN w:val="0"/>
              <w:adjustRightInd w:val="0"/>
              <w:spacing w:line="360" w:lineRule="auto"/>
              <w:jc w:val="center"/>
              <w:rPr>
                <w:rFonts w:cs="Aparajita"/>
              </w:rPr>
            </w:pPr>
            <w:r>
              <w:rPr>
                <w:rFonts w:cs="Aparajita"/>
              </w:rPr>
              <w:t>3</w:t>
            </w:r>
          </w:p>
        </w:tc>
        <w:tc>
          <w:tcPr>
            <w:tcW w:w="2507" w:type="dxa"/>
          </w:tcPr>
          <w:p w:rsidR="007335FD" w:rsidRDefault="00815898">
            <w:pPr>
              <w:pStyle w:val="NoSpacing"/>
              <w:jc w:val="left"/>
              <w:rPr>
                <w:sz w:val="22"/>
                <w:szCs w:val="22"/>
              </w:rPr>
            </w:pPr>
            <w:r>
              <w:rPr>
                <w:sz w:val="22"/>
                <w:szCs w:val="22"/>
              </w:rPr>
              <w:t>Meningkatnya kualitas demokrasi di Sumatera Barat</w:t>
            </w:r>
          </w:p>
        </w:tc>
        <w:tc>
          <w:tcPr>
            <w:tcW w:w="1888" w:type="dxa"/>
          </w:tcPr>
          <w:p w:rsidR="007335FD" w:rsidRDefault="00815898">
            <w:pPr>
              <w:pStyle w:val="NoSpacing"/>
              <w:jc w:val="left"/>
              <w:rPr>
                <w:sz w:val="22"/>
                <w:szCs w:val="22"/>
              </w:rPr>
            </w:pPr>
            <w:r>
              <w:rPr>
                <w:sz w:val="22"/>
                <w:szCs w:val="22"/>
              </w:rPr>
              <w:t>Nilai Indeks Demikrasi Indonesia (IDI) di Sumbar</w:t>
            </w:r>
          </w:p>
        </w:tc>
        <w:tc>
          <w:tcPr>
            <w:tcW w:w="1417" w:type="dxa"/>
          </w:tcPr>
          <w:p w:rsidR="007335FD" w:rsidRDefault="00815898">
            <w:pPr>
              <w:autoSpaceDE w:val="0"/>
              <w:autoSpaceDN w:val="0"/>
              <w:adjustRightInd w:val="0"/>
              <w:spacing w:line="360" w:lineRule="auto"/>
              <w:jc w:val="center"/>
              <w:rPr>
                <w:rFonts w:cs="Aparajita"/>
              </w:rPr>
            </w:pPr>
            <w:r>
              <w:rPr>
                <w:rFonts w:cs="Aparajita"/>
              </w:rPr>
              <w:t>99,28%</w:t>
            </w:r>
          </w:p>
        </w:tc>
        <w:tc>
          <w:tcPr>
            <w:tcW w:w="1701" w:type="dxa"/>
          </w:tcPr>
          <w:p w:rsidR="007335FD" w:rsidRDefault="00815898">
            <w:pPr>
              <w:autoSpaceDE w:val="0"/>
              <w:autoSpaceDN w:val="0"/>
              <w:adjustRightInd w:val="0"/>
              <w:spacing w:line="360" w:lineRule="auto"/>
              <w:jc w:val="center"/>
              <w:rPr>
                <w:rFonts w:cs="Aparajita"/>
              </w:rPr>
            </w:pPr>
            <w:r>
              <w:rPr>
                <w:rFonts w:cs="Aparajita"/>
              </w:rPr>
              <w:t>95,85%</w:t>
            </w:r>
          </w:p>
          <w:p w:rsidR="007335FD" w:rsidRDefault="007335FD">
            <w:pPr>
              <w:autoSpaceDE w:val="0"/>
              <w:autoSpaceDN w:val="0"/>
              <w:adjustRightInd w:val="0"/>
              <w:spacing w:line="360" w:lineRule="auto"/>
              <w:jc w:val="center"/>
              <w:rPr>
                <w:rFonts w:cs="Aparajita"/>
              </w:rPr>
            </w:pPr>
          </w:p>
        </w:tc>
        <w:tc>
          <w:tcPr>
            <w:tcW w:w="1361" w:type="dxa"/>
          </w:tcPr>
          <w:p w:rsidR="007335FD" w:rsidRDefault="00815898">
            <w:pPr>
              <w:autoSpaceDE w:val="0"/>
              <w:autoSpaceDN w:val="0"/>
              <w:adjustRightInd w:val="0"/>
              <w:spacing w:line="360" w:lineRule="auto"/>
              <w:jc w:val="center"/>
              <w:rPr>
                <w:rFonts w:cs="Aparajita"/>
              </w:rPr>
            </w:pPr>
            <w:r>
              <w:rPr>
                <w:rFonts w:cs="Aparajita"/>
              </w:rPr>
              <w:t>4,15%</w:t>
            </w:r>
          </w:p>
        </w:tc>
      </w:tr>
    </w:tbl>
    <w:p w:rsidR="007335FD" w:rsidRDefault="007335FD">
      <w:pPr>
        <w:autoSpaceDE w:val="0"/>
        <w:autoSpaceDN w:val="0"/>
        <w:adjustRightInd w:val="0"/>
        <w:spacing w:after="0" w:line="360" w:lineRule="auto"/>
        <w:ind w:firstLine="720"/>
        <w:jc w:val="both"/>
        <w:rPr>
          <w:rFonts w:cs="Aparajita"/>
          <w:sz w:val="24"/>
          <w:szCs w:val="24"/>
        </w:rPr>
      </w:pPr>
    </w:p>
    <w:p w:rsidR="007335FD" w:rsidRDefault="00851EC5">
      <w:pPr>
        <w:autoSpaceDE w:val="0"/>
        <w:autoSpaceDN w:val="0"/>
        <w:adjustRightInd w:val="0"/>
        <w:spacing w:after="0" w:line="360" w:lineRule="auto"/>
        <w:jc w:val="both"/>
        <w:rPr>
          <w:rFonts w:cs="Aparajita"/>
          <w:sz w:val="24"/>
          <w:szCs w:val="24"/>
        </w:rPr>
      </w:pPr>
      <w:r>
        <w:pict>
          <v:shape id="_x0000_s1043" type="#_x0000_t32" style="position:absolute;left:0;text-align:left;margin-left:1.65pt;margin-top:22.05pt;width:462.7pt;height:0;z-index:302048256;mso-width-relative:page;mso-height-relative:page" strokecolor="#c00000" strokeweight="4.5pt"/>
        </w:pict>
      </w:r>
      <w:r w:rsidR="00815898">
        <w:rPr>
          <w:rFonts w:ascii="Segoe UI Black" w:hAnsi="Segoe UI Black" w:cs="Segoe UI Black"/>
          <w:b/>
          <w:bCs/>
          <w:sz w:val="24"/>
          <w:szCs w:val="24"/>
        </w:rPr>
        <w:t>3.4 Realisasi Anggaran</w:t>
      </w:r>
    </w:p>
    <w:p w:rsidR="007335FD" w:rsidRDefault="00815898">
      <w:pPr>
        <w:spacing w:before="120" w:line="360" w:lineRule="auto"/>
        <w:ind w:left="440" w:firstLine="716"/>
        <w:jc w:val="both"/>
        <w:rPr>
          <w:rFonts w:cs="Andalus"/>
          <w:sz w:val="24"/>
          <w:szCs w:val="24"/>
          <w:lang w:val="fi-FI"/>
        </w:rPr>
      </w:pPr>
      <w:r>
        <w:rPr>
          <w:rFonts w:eastAsia="Batang" w:cs="Aparajita"/>
          <w:color w:val="000000"/>
          <w:sz w:val="24"/>
          <w:szCs w:val="24"/>
        </w:rPr>
        <w:t xml:space="preserve">Pada tahun anggaran 2018, Badan Kesbangpol Provinsi Sumatera Barat mendapatkan alokasi belanja dari APBD Provinsi Sumatera Barat sebesar </w:t>
      </w:r>
      <w:r>
        <w:rPr>
          <w:rFonts w:eastAsia="Batang" w:cs="Aparajita"/>
          <w:b/>
          <w:color w:val="000000"/>
          <w:sz w:val="24"/>
          <w:szCs w:val="24"/>
          <w:u w:val="single"/>
        </w:rPr>
        <w:t>Rp.12.839.134.938,05</w:t>
      </w:r>
      <w:r>
        <w:rPr>
          <w:rFonts w:eastAsia="Batang" w:cs="Aparajita"/>
          <w:color w:val="000000"/>
          <w:sz w:val="24"/>
          <w:szCs w:val="24"/>
        </w:rPr>
        <w:t xml:space="preserve"> yang terdiri dari belanja tidak langsung sebesar </w:t>
      </w:r>
      <w:r>
        <w:rPr>
          <w:rFonts w:eastAsia="Batang" w:cs="Aparajita"/>
          <w:b/>
          <w:color w:val="000000"/>
          <w:sz w:val="24"/>
          <w:szCs w:val="24"/>
          <w:u w:val="single"/>
        </w:rPr>
        <w:t>Rp.4.691.845,05</w:t>
      </w:r>
      <w:r>
        <w:rPr>
          <w:rFonts w:eastAsia="Batang" w:cs="Aparajita"/>
          <w:b/>
          <w:color w:val="000000"/>
          <w:sz w:val="24"/>
          <w:szCs w:val="24"/>
        </w:rPr>
        <w:t xml:space="preserve"> </w:t>
      </w:r>
      <w:r>
        <w:rPr>
          <w:rFonts w:eastAsia="Batang" w:cs="Aparajita"/>
          <w:color w:val="000000"/>
          <w:sz w:val="24"/>
          <w:szCs w:val="24"/>
        </w:rPr>
        <w:t>dan belanja langsung sebesar</w:t>
      </w:r>
      <w:r>
        <w:rPr>
          <w:rFonts w:eastAsia="Batang" w:cs="Aparajita"/>
          <w:b/>
          <w:bCs/>
          <w:color w:val="000000"/>
          <w:sz w:val="24"/>
          <w:szCs w:val="24"/>
        </w:rPr>
        <w:t xml:space="preserve"> Rp</w:t>
      </w:r>
      <w:r>
        <w:rPr>
          <w:rFonts w:eastAsia="Batang" w:cs="Aparajita"/>
          <w:color w:val="000000"/>
          <w:sz w:val="24"/>
          <w:szCs w:val="24"/>
        </w:rPr>
        <w:t>.</w:t>
      </w:r>
      <w:r>
        <w:rPr>
          <w:rFonts w:eastAsia="Batang" w:cs="Aparajita"/>
          <w:b/>
          <w:color w:val="000000"/>
          <w:sz w:val="24"/>
          <w:szCs w:val="24"/>
          <w:u w:val="single"/>
        </w:rPr>
        <w:t>8.148.024.093.</w:t>
      </w:r>
      <w:r>
        <w:rPr>
          <w:rFonts w:eastAsia="Batang" w:cs="Aparajita"/>
          <w:sz w:val="24"/>
          <w:szCs w:val="24"/>
        </w:rPr>
        <w:t xml:space="preserve"> Adapun realisasinya pada akhir Desember 2018 untuk belanja tidak langsung sebesar </w:t>
      </w:r>
      <w:r>
        <w:rPr>
          <w:rFonts w:eastAsia="Batang" w:cs="Aparajita"/>
          <w:b/>
          <w:sz w:val="24"/>
          <w:szCs w:val="24"/>
          <w:u w:val="single"/>
        </w:rPr>
        <w:t>Rp. 4.230.464.720 (90,17%)</w:t>
      </w:r>
      <w:r>
        <w:rPr>
          <w:rFonts w:eastAsia="Batang" w:cs="Aparajita"/>
          <w:sz w:val="24"/>
          <w:szCs w:val="24"/>
        </w:rPr>
        <w:t xml:space="preserve"> sedangkan realisasi </w:t>
      </w:r>
      <w:r>
        <w:rPr>
          <w:rFonts w:eastAsia="Batang" w:cs="Aparajita"/>
          <w:sz w:val="24"/>
          <w:szCs w:val="24"/>
        </w:rPr>
        <w:lastRenderedPageBreak/>
        <w:t xml:space="preserve">belanja langsung sebesar </w:t>
      </w:r>
      <w:r>
        <w:rPr>
          <w:rFonts w:eastAsia="Batang" w:cs="Aparajita"/>
          <w:b/>
          <w:sz w:val="24"/>
          <w:szCs w:val="24"/>
          <w:u w:val="single"/>
        </w:rPr>
        <w:t>Rp.7.837.304.271 (96,19%).</w:t>
      </w:r>
      <w:r>
        <w:rPr>
          <w:rFonts w:eastAsia="Batang" w:cs="Aparajita"/>
          <w:sz w:val="24"/>
          <w:szCs w:val="24"/>
        </w:rPr>
        <w:t xml:space="preserve"> Jumlah total realisasi belanja langsung dan belanja tidak langsung per Desember 2018 sebesar </w:t>
      </w:r>
      <w:r>
        <w:rPr>
          <w:rFonts w:eastAsia="Batang" w:cs="Aparajita"/>
          <w:b/>
          <w:sz w:val="24"/>
          <w:szCs w:val="24"/>
          <w:u w:val="single"/>
        </w:rPr>
        <w:t xml:space="preserve">Rp.12.067.768.991 </w:t>
      </w:r>
      <w:r>
        <w:rPr>
          <w:rFonts w:eastAsia="Batang" w:cs="Aparajita"/>
          <w:sz w:val="24"/>
          <w:szCs w:val="24"/>
        </w:rPr>
        <w:t xml:space="preserve">tau </w:t>
      </w:r>
      <w:r>
        <w:rPr>
          <w:rFonts w:eastAsia="Batang" w:cs="Aparajita"/>
          <w:b/>
          <w:sz w:val="24"/>
          <w:szCs w:val="24"/>
          <w:u w:val="single"/>
        </w:rPr>
        <w:t>93</w:t>
      </w:r>
      <w:proofErr w:type="gramStart"/>
      <w:r>
        <w:rPr>
          <w:rFonts w:eastAsia="Batang" w:cs="Aparajita"/>
          <w:b/>
          <w:sz w:val="24"/>
          <w:szCs w:val="24"/>
          <w:u w:val="single"/>
        </w:rPr>
        <w:t>,99</w:t>
      </w:r>
      <w:proofErr w:type="gramEnd"/>
      <w:r>
        <w:rPr>
          <w:rFonts w:eastAsia="Batang" w:cs="Aparajita"/>
          <w:b/>
          <w:sz w:val="24"/>
          <w:szCs w:val="24"/>
          <w:u w:val="single"/>
        </w:rPr>
        <w:t>%.</w:t>
      </w:r>
      <w:r>
        <w:rPr>
          <w:rFonts w:eastAsia="Batang" w:cs="Aparajita"/>
          <w:sz w:val="24"/>
          <w:szCs w:val="24"/>
        </w:rPr>
        <w:t xml:space="preserve"> </w:t>
      </w:r>
      <w:r>
        <w:rPr>
          <w:rFonts w:cs="Andalus"/>
          <w:sz w:val="24"/>
          <w:szCs w:val="24"/>
          <w:lang w:val="fi-FI"/>
        </w:rPr>
        <w:t>Hal tersebut dapat digambarkan pada tabel berikut ;</w:t>
      </w:r>
    </w:p>
    <w:p w:rsidR="007335FD" w:rsidRDefault="00815898">
      <w:pPr>
        <w:pStyle w:val="NoSpacing"/>
        <w:jc w:val="center"/>
        <w:rPr>
          <w:rFonts w:hAnsi="Berlin Sans FB Demi"/>
          <w:b/>
          <w:bCs/>
          <w:sz w:val="24"/>
          <w:szCs w:val="24"/>
        </w:rPr>
      </w:pPr>
      <w:r>
        <w:rPr>
          <w:rFonts w:hAnsi="Berlin Sans FB Demi"/>
          <w:b/>
          <w:bCs/>
          <w:sz w:val="24"/>
          <w:szCs w:val="24"/>
          <w:lang w:val="fi-FI"/>
        </w:rPr>
        <w:t>Tabel 3.2</w:t>
      </w:r>
      <w:r>
        <w:rPr>
          <w:rFonts w:hAnsi="Berlin Sans FB Demi"/>
          <w:b/>
          <w:bCs/>
          <w:sz w:val="24"/>
          <w:szCs w:val="24"/>
        </w:rPr>
        <w:t>6</w:t>
      </w:r>
    </w:p>
    <w:p w:rsidR="007335FD" w:rsidRDefault="00815898">
      <w:pPr>
        <w:pStyle w:val="NoSpacing"/>
        <w:jc w:val="center"/>
        <w:rPr>
          <w:rFonts w:hAnsi="Berlin Sans FB Demi"/>
          <w:b/>
          <w:bCs/>
          <w:sz w:val="24"/>
          <w:szCs w:val="24"/>
          <w:lang w:val="fi-FI"/>
        </w:rPr>
      </w:pPr>
      <w:r>
        <w:rPr>
          <w:rFonts w:hAnsi="Berlin Sans FB Demi"/>
          <w:b/>
          <w:bCs/>
          <w:sz w:val="24"/>
          <w:szCs w:val="24"/>
          <w:lang w:val="fi-FI"/>
        </w:rPr>
        <w:t>Pagu dan realisasi anggaran Badan Kesbangpol Prov.Sumbar</w:t>
      </w:r>
    </w:p>
    <w:p w:rsidR="007335FD" w:rsidRDefault="00815898">
      <w:pPr>
        <w:pStyle w:val="NoSpacing"/>
        <w:jc w:val="center"/>
        <w:rPr>
          <w:rFonts w:hAnsi="Berlin Sans FB Demi"/>
          <w:b/>
          <w:bCs/>
          <w:sz w:val="24"/>
          <w:szCs w:val="24"/>
        </w:rPr>
      </w:pPr>
      <w:r>
        <w:rPr>
          <w:rFonts w:hAnsi="Berlin Sans FB Demi"/>
          <w:b/>
          <w:bCs/>
          <w:sz w:val="24"/>
          <w:szCs w:val="24"/>
          <w:lang w:val="fi-FI"/>
        </w:rPr>
        <w:t>Tahun 201</w:t>
      </w:r>
      <w:r>
        <w:rPr>
          <w:rFonts w:hAnsi="Berlin Sans FB Demi"/>
          <w:b/>
          <w:bCs/>
          <w:sz w:val="24"/>
          <w:szCs w:val="24"/>
        </w:rPr>
        <w:t>8</w:t>
      </w:r>
    </w:p>
    <w:p w:rsidR="007335FD" w:rsidRDefault="007335FD">
      <w:pPr>
        <w:pStyle w:val="NoSpacing"/>
        <w:jc w:val="center"/>
        <w:rPr>
          <w:rFonts w:hAnsi="Berlin Sans FB Demi"/>
          <w:b/>
          <w:bCs/>
          <w:sz w:val="24"/>
          <w:szCs w:val="24"/>
          <w:lang w:val="fi-FI"/>
        </w:rPr>
      </w:pPr>
    </w:p>
    <w:tbl>
      <w:tblPr>
        <w:tblStyle w:val="TableGrid"/>
        <w:tblW w:w="9315" w:type="dxa"/>
        <w:tblInd w:w="234" w:type="dxa"/>
        <w:tblLayout w:type="fixed"/>
        <w:tblLook w:val="04A0" w:firstRow="1" w:lastRow="0" w:firstColumn="1" w:lastColumn="0" w:noHBand="0" w:noVBand="1"/>
      </w:tblPr>
      <w:tblGrid>
        <w:gridCol w:w="2553"/>
        <w:gridCol w:w="1808"/>
        <w:gridCol w:w="1866"/>
        <w:gridCol w:w="1812"/>
        <w:gridCol w:w="1276"/>
      </w:tblGrid>
      <w:tr w:rsidR="007335FD">
        <w:trPr>
          <w:trHeight w:val="247"/>
        </w:trPr>
        <w:tc>
          <w:tcPr>
            <w:tcW w:w="2553" w:type="dxa"/>
            <w:shd w:val="clear" w:color="auto" w:fill="C00000"/>
          </w:tcPr>
          <w:p w:rsidR="007335FD" w:rsidRDefault="00815898">
            <w:pPr>
              <w:pStyle w:val="NoSpacing"/>
              <w:jc w:val="center"/>
              <w:rPr>
                <w:sz w:val="22"/>
                <w:szCs w:val="22"/>
                <w:lang w:val="fi-FI"/>
              </w:rPr>
            </w:pPr>
            <w:r>
              <w:rPr>
                <w:sz w:val="22"/>
                <w:szCs w:val="22"/>
                <w:lang w:val="fi-FI"/>
              </w:rPr>
              <w:t>URAIAN</w:t>
            </w:r>
          </w:p>
        </w:tc>
        <w:tc>
          <w:tcPr>
            <w:tcW w:w="1808" w:type="dxa"/>
            <w:shd w:val="clear" w:color="auto" w:fill="C00000"/>
          </w:tcPr>
          <w:p w:rsidR="007335FD" w:rsidRDefault="00815898">
            <w:pPr>
              <w:pStyle w:val="NoSpacing"/>
              <w:jc w:val="center"/>
              <w:rPr>
                <w:sz w:val="22"/>
                <w:szCs w:val="22"/>
                <w:lang w:val="fi-FI"/>
              </w:rPr>
            </w:pPr>
            <w:r>
              <w:rPr>
                <w:sz w:val="22"/>
                <w:szCs w:val="22"/>
                <w:lang w:val="fi-FI"/>
              </w:rPr>
              <w:t>APBD</w:t>
            </w:r>
          </w:p>
        </w:tc>
        <w:tc>
          <w:tcPr>
            <w:tcW w:w="1866" w:type="dxa"/>
            <w:shd w:val="clear" w:color="auto" w:fill="C00000"/>
          </w:tcPr>
          <w:p w:rsidR="007335FD" w:rsidRDefault="00815898">
            <w:pPr>
              <w:pStyle w:val="NoSpacing"/>
              <w:jc w:val="center"/>
              <w:rPr>
                <w:sz w:val="22"/>
                <w:szCs w:val="22"/>
                <w:lang w:val="fi-FI"/>
              </w:rPr>
            </w:pPr>
            <w:r>
              <w:rPr>
                <w:sz w:val="22"/>
                <w:szCs w:val="22"/>
                <w:lang w:val="fi-FI"/>
              </w:rPr>
              <w:t>REALISASI</w:t>
            </w:r>
          </w:p>
        </w:tc>
        <w:tc>
          <w:tcPr>
            <w:tcW w:w="1812" w:type="dxa"/>
            <w:shd w:val="clear" w:color="auto" w:fill="C00000"/>
          </w:tcPr>
          <w:p w:rsidR="007335FD" w:rsidRDefault="00815898">
            <w:pPr>
              <w:pStyle w:val="NoSpacing"/>
              <w:jc w:val="center"/>
              <w:rPr>
                <w:sz w:val="22"/>
                <w:szCs w:val="22"/>
                <w:lang w:val="fi-FI"/>
              </w:rPr>
            </w:pPr>
            <w:r>
              <w:rPr>
                <w:sz w:val="22"/>
                <w:szCs w:val="22"/>
                <w:lang w:val="fi-FI"/>
              </w:rPr>
              <w:t xml:space="preserve">SISA </w:t>
            </w:r>
          </w:p>
        </w:tc>
        <w:tc>
          <w:tcPr>
            <w:tcW w:w="1276" w:type="dxa"/>
            <w:shd w:val="clear" w:color="auto" w:fill="C00000"/>
          </w:tcPr>
          <w:p w:rsidR="007335FD" w:rsidRDefault="00815898">
            <w:pPr>
              <w:pStyle w:val="NoSpacing"/>
              <w:jc w:val="center"/>
              <w:rPr>
                <w:sz w:val="22"/>
                <w:szCs w:val="22"/>
              </w:rPr>
            </w:pPr>
            <w:r>
              <w:rPr>
                <w:sz w:val="22"/>
                <w:szCs w:val="22"/>
              </w:rPr>
              <w:t>%</w:t>
            </w:r>
          </w:p>
        </w:tc>
      </w:tr>
      <w:tr w:rsidR="007335FD">
        <w:tc>
          <w:tcPr>
            <w:tcW w:w="2553" w:type="dxa"/>
          </w:tcPr>
          <w:p w:rsidR="007335FD" w:rsidRDefault="00815898">
            <w:pPr>
              <w:pStyle w:val="NoSpacing"/>
              <w:numPr>
                <w:ilvl w:val="0"/>
                <w:numId w:val="57"/>
              </w:numPr>
              <w:ind w:left="426"/>
              <w:jc w:val="left"/>
              <w:rPr>
                <w:sz w:val="22"/>
                <w:szCs w:val="22"/>
                <w:lang w:val="fi-FI"/>
              </w:rPr>
            </w:pPr>
            <w:r>
              <w:rPr>
                <w:sz w:val="22"/>
                <w:szCs w:val="22"/>
                <w:lang w:val="fi-FI"/>
              </w:rPr>
              <w:t>Belanja tidak langsung</w:t>
            </w:r>
          </w:p>
        </w:tc>
        <w:tc>
          <w:tcPr>
            <w:tcW w:w="1808" w:type="dxa"/>
          </w:tcPr>
          <w:p w:rsidR="007335FD" w:rsidRDefault="00815898">
            <w:pPr>
              <w:pStyle w:val="NoSpacing"/>
              <w:jc w:val="right"/>
              <w:rPr>
                <w:sz w:val="22"/>
                <w:szCs w:val="22"/>
                <w:lang w:val="fi-FI"/>
              </w:rPr>
            </w:pPr>
            <w:r>
              <w:rPr>
                <w:rFonts w:eastAsia="Batang" w:cs="Aparajita"/>
                <w:color w:val="000000"/>
                <w:sz w:val="22"/>
                <w:szCs w:val="22"/>
              </w:rPr>
              <w:t xml:space="preserve">4.691.845,05 </w:t>
            </w:r>
          </w:p>
        </w:tc>
        <w:tc>
          <w:tcPr>
            <w:tcW w:w="1866" w:type="dxa"/>
          </w:tcPr>
          <w:p w:rsidR="007335FD" w:rsidRDefault="00815898">
            <w:pPr>
              <w:pStyle w:val="NoSpacing"/>
              <w:jc w:val="right"/>
              <w:rPr>
                <w:sz w:val="22"/>
                <w:szCs w:val="22"/>
                <w:lang w:val="fi-FI"/>
              </w:rPr>
            </w:pPr>
            <w:r>
              <w:rPr>
                <w:rFonts w:eastAsia="Batang" w:cs="Aparajita"/>
                <w:sz w:val="22"/>
                <w:szCs w:val="22"/>
              </w:rPr>
              <w:t>4.230.464.720</w:t>
            </w:r>
          </w:p>
        </w:tc>
        <w:tc>
          <w:tcPr>
            <w:tcW w:w="1812" w:type="dxa"/>
          </w:tcPr>
          <w:p w:rsidR="007335FD" w:rsidRDefault="00815898">
            <w:pPr>
              <w:pStyle w:val="NoSpacing"/>
              <w:jc w:val="right"/>
              <w:rPr>
                <w:sz w:val="22"/>
                <w:szCs w:val="22"/>
              </w:rPr>
            </w:pPr>
            <w:r>
              <w:rPr>
                <w:sz w:val="22"/>
                <w:szCs w:val="22"/>
              </w:rPr>
              <w:t>460.646.125</w:t>
            </w:r>
          </w:p>
        </w:tc>
        <w:tc>
          <w:tcPr>
            <w:tcW w:w="1276" w:type="dxa"/>
          </w:tcPr>
          <w:p w:rsidR="007335FD" w:rsidRDefault="00815898">
            <w:pPr>
              <w:pStyle w:val="NoSpacing"/>
              <w:jc w:val="right"/>
              <w:rPr>
                <w:sz w:val="22"/>
                <w:szCs w:val="22"/>
              </w:rPr>
            </w:pPr>
            <w:r>
              <w:rPr>
                <w:sz w:val="22"/>
                <w:szCs w:val="22"/>
              </w:rPr>
              <w:t>90,17</w:t>
            </w:r>
          </w:p>
        </w:tc>
      </w:tr>
      <w:tr w:rsidR="007335FD">
        <w:tc>
          <w:tcPr>
            <w:tcW w:w="2553" w:type="dxa"/>
          </w:tcPr>
          <w:p w:rsidR="007335FD" w:rsidRDefault="00815898">
            <w:pPr>
              <w:pStyle w:val="NoSpacing"/>
              <w:ind w:left="426" w:hanging="142"/>
              <w:jc w:val="left"/>
              <w:rPr>
                <w:sz w:val="22"/>
                <w:szCs w:val="22"/>
                <w:lang w:val="fi-FI"/>
              </w:rPr>
            </w:pPr>
            <w:r>
              <w:rPr>
                <w:sz w:val="22"/>
                <w:szCs w:val="22"/>
                <w:lang w:val="fi-FI"/>
              </w:rPr>
              <w:t>- Belanja Gaji dan Tunjangan</w:t>
            </w:r>
          </w:p>
        </w:tc>
        <w:tc>
          <w:tcPr>
            <w:tcW w:w="1808" w:type="dxa"/>
          </w:tcPr>
          <w:p w:rsidR="007335FD" w:rsidRDefault="00815898">
            <w:pPr>
              <w:pStyle w:val="NoSpacing"/>
              <w:jc w:val="right"/>
              <w:rPr>
                <w:sz w:val="22"/>
                <w:szCs w:val="22"/>
              </w:rPr>
            </w:pPr>
            <w:r>
              <w:rPr>
                <w:sz w:val="22"/>
                <w:szCs w:val="22"/>
                <w:lang w:val="fi-FI"/>
              </w:rPr>
              <w:t>3.</w:t>
            </w:r>
            <w:r>
              <w:rPr>
                <w:sz w:val="22"/>
                <w:szCs w:val="22"/>
              </w:rPr>
              <w:t>391</w:t>
            </w:r>
            <w:r>
              <w:rPr>
                <w:sz w:val="22"/>
                <w:szCs w:val="22"/>
                <w:lang w:val="fi-FI"/>
              </w:rPr>
              <w:t>.</w:t>
            </w:r>
            <w:r>
              <w:rPr>
                <w:sz w:val="22"/>
                <w:szCs w:val="22"/>
              </w:rPr>
              <w:t>110.845,05</w:t>
            </w:r>
          </w:p>
        </w:tc>
        <w:tc>
          <w:tcPr>
            <w:tcW w:w="1866" w:type="dxa"/>
          </w:tcPr>
          <w:p w:rsidR="007335FD" w:rsidRDefault="00815898">
            <w:pPr>
              <w:pStyle w:val="NoSpacing"/>
              <w:jc w:val="right"/>
              <w:rPr>
                <w:sz w:val="22"/>
                <w:szCs w:val="22"/>
              </w:rPr>
            </w:pPr>
            <w:r>
              <w:rPr>
                <w:sz w:val="22"/>
                <w:szCs w:val="22"/>
              </w:rPr>
              <w:t>2.983.806.965</w:t>
            </w:r>
          </w:p>
        </w:tc>
        <w:tc>
          <w:tcPr>
            <w:tcW w:w="1812" w:type="dxa"/>
          </w:tcPr>
          <w:p w:rsidR="007335FD" w:rsidRDefault="00815898">
            <w:pPr>
              <w:pStyle w:val="NoSpacing"/>
              <w:jc w:val="right"/>
              <w:rPr>
                <w:sz w:val="22"/>
                <w:szCs w:val="22"/>
              </w:rPr>
            </w:pPr>
            <w:r>
              <w:rPr>
                <w:sz w:val="22"/>
                <w:szCs w:val="22"/>
              </w:rPr>
              <w:t>407.303.880,05</w:t>
            </w:r>
          </w:p>
        </w:tc>
        <w:tc>
          <w:tcPr>
            <w:tcW w:w="1276" w:type="dxa"/>
          </w:tcPr>
          <w:p w:rsidR="007335FD" w:rsidRDefault="00815898">
            <w:pPr>
              <w:pStyle w:val="NoSpacing"/>
              <w:jc w:val="right"/>
              <w:rPr>
                <w:sz w:val="22"/>
                <w:szCs w:val="22"/>
              </w:rPr>
            </w:pPr>
            <w:r>
              <w:rPr>
                <w:sz w:val="22"/>
                <w:szCs w:val="22"/>
              </w:rPr>
              <w:t>87,99</w:t>
            </w:r>
          </w:p>
        </w:tc>
      </w:tr>
      <w:tr w:rsidR="007335FD">
        <w:tc>
          <w:tcPr>
            <w:tcW w:w="2553" w:type="dxa"/>
          </w:tcPr>
          <w:p w:rsidR="007335FD" w:rsidRDefault="00815898">
            <w:pPr>
              <w:pStyle w:val="NoSpacing"/>
              <w:numPr>
                <w:ilvl w:val="4"/>
                <w:numId w:val="3"/>
              </w:numPr>
              <w:ind w:left="426" w:hanging="142"/>
              <w:jc w:val="left"/>
              <w:rPr>
                <w:sz w:val="22"/>
                <w:szCs w:val="22"/>
                <w:lang w:val="fi-FI"/>
              </w:rPr>
            </w:pPr>
            <w:r>
              <w:rPr>
                <w:sz w:val="22"/>
                <w:szCs w:val="22"/>
                <w:lang w:val="fi-FI"/>
              </w:rPr>
              <w:t>Belanja Tambahan Penghasilan PNS</w:t>
            </w:r>
          </w:p>
        </w:tc>
        <w:tc>
          <w:tcPr>
            <w:tcW w:w="1808" w:type="dxa"/>
          </w:tcPr>
          <w:p w:rsidR="007335FD" w:rsidRDefault="00815898">
            <w:pPr>
              <w:pStyle w:val="NoSpacing"/>
              <w:jc w:val="right"/>
              <w:rPr>
                <w:sz w:val="22"/>
                <w:szCs w:val="22"/>
              </w:rPr>
            </w:pPr>
            <w:r>
              <w:rPr>
                <w:sz w:val="22"/>
                <w:szCs w:val="22"/>
                <w:lang w:val="fi-FI"/>
              </w:rPr>
              <w:t>1.</w:t>
            </w:r>
            <w:r>
              <w:rPr>
                <w:sz w:val="22"/>
                <w:szCs w:val="22"/>
              </w:rPr>
              <w:t>300.00</w:t>
            </w:r>
            <w:r>
              <w:rPr>
                <w:sz w:val="22"/>
                <w:szCs w:val="22"/>
                <w:lang w:val="fi-FI"/>
              </w:rPr>
              <w:t>0</w:t>
            </w:r>
            <w:r>
              <w:rPr>
                <w:sz w:val="22"/>
                <w:szCs w:val="22"/>
              </w:rPr>
              <w:t>.000,00</w:t>
            </w:r>
          </w:p>
        </w:tc>
        <w:tc>
          <w:tcPr>
            <w:tcW w:w="1866" w:type="dxa"/>
          </w:tcPr>
          <w:p w:rsidR="007335FD" w:rsidRDefault="00815898">
            <w:pPr>
              <w:pStyle w:val="NoSpacing"/>
              <w:jc w:val="right"/>
              <w:rPr>
                <w:sz w:val="22"/>
                <w:szCs w:val="22"/>
              </w:rPr>
            </w:pPr>
            <w:r>
              <w:rPr>
                <w:sz w:val="22"/>
                <w:szCs w:val="22"/>
                <w:lang w:val="fi-FI"/>
              </w:rPr>
              <w:t>1.</w:t>
            </w:r>
            <w:r>
              <w:rPr>
                <w:sz w:val="22"/>
                <w:szCs w:val="22"/>
              </w:rPr>
              <w:t>246</w:t>
            </w:r>
            <w:r>
              <w:rPr>
                <w:sz w:val="22"/>
                <w:szCs w:val="22"/>
                <w:lang w:val="fi-FI"/>
              </w:rPr>
              <w:t>.</w:t>
            </w:r>
            <w:r>
              <w:rPr>
                <w:sz w:val="22"/>
                <w:szCs w:val="22"/>
              </w:rPr>
              <w:t>657</w:t>
            </w:r>
            <w:r>
              <w:rPr>
                <w:sz w:val="22"/>
                <w:szCs w:val="22"/>
                <w:lang w:val="fi-FI"/>
              </w:rPr>
              <w:t>.</w:t>
            </w:r>
            <w:r>
              <w:rPr>
                <w:sz w:val="22"/>
                <w:szCs w:val="22"/>
              </w:rPr>
              <w:t>755,00</w:t>
            </w:r>
          </w:p>
        </w:tc>
        <w:tc>
          <w:tcPr>
            <w:tcW w:w="1812" w:type="dxa"/>
          </w:tcPr>
          <w:p w:rsidR="007335FD" w:rsidRDefault="00815898">
            <w:pPr>
              <w:pStyle w:val="NoSpacing"/>
              <w:jc w:val="right"/>
              <w:rPr>
                <w:sz w:val="22"/>
                <w:szCs w:val="22"/>
              </w:rPr>
            </w:pPr>
            <w:r>
              <w:rPr>
                <w:sz w:val="22"/>
                <w:szCs w:val="22"/>
              </w:rPr>
              <w:t>53.342.245</w:t>
            </w:r>
          </w:p>
        </w:tc>
        <w:tc>
          <w:tcPr>
            <w:tcW w:w="1276" w:type="dxa"/>
          </w:tcPr>
          <w:p w:rsidR="007335FD" w:rsidRDefault="00815898">
            <w:pPr>
              <w:pStyle w:val="NoSpacing"/>
              <w:jc w:val="right"/>
              <w:rPr>
                <w:sz w:val="22"/>
                <w:szCs w:val="22"/>
              </w:rPr>
            </w:pPr>
            <w:r>
              <w:rPr>
                <w:sz w:val="22"/>
                <w:szCs w:val="22"/>
              </w:rPr>
              <w:t>95,89</w:t>
            </w:r>
          </w:p>
        </w:tc>
      </w:tr>
      <w:tr w:rsidR="007335FD">
        <w:tc>
          <w:tcPr>
            <w:tcW w:w="2553" w:type="dxa"/>
          </w:tcPr>
          <w:p w:rsidR="007335FD" w:rsidRDefault="00815898">
            <w:pPr>
              <w:pStyle w:val="NoSpacing"/>
              <w:numPr>
                <w:ilvl w:val="2"/>
                <w:numId w:val="3"/>
              </w:numPr>
              <w:ind w:left="426"/>
              <w:rPr>
                <w:sz w:val="22"/>
                <w:szCs w:val="22"/>
                <w:lang w:val="fi-FI"/>
              </w:rPr>
            </w:pPr>
            <w:r>
              <w:rPr>
                <w:sz w:val="22"/>
                <w:szCs w:val="22"/>
                <w:lang w:val="fi-FI"/>
              </w:rPr>
              <w:t>Belanja langsung</w:t>
            </w:r>
          </w:p>
        </w:tc>
        <w:tc>
          <w:tcPr>
            <w:tcW w:w="1808" w:type="dxa"/>
          </w:tcPr>
          <w:p w:rsidR="007335FD" w:rsidRDefault="00815898">
            <w:pPr>
              <w:pStyle w:val="NoSpacing"/>
              <w:jc w:val="right"/>
              <w:rPr>
                <w:sz w:val="22"/>
                <w:szCs w:val="22"/>
                <w:lang w:val="fi-FI"/>
              </w:rPr>
            </w:pPr>
            <w:r>
              <w:rPr>
                <w:rFonts w:eastAsia="Batang" w:cs="Aparajita"/>
                <w:color w:val="000000"/>
                <w:sz w:val="22"/>
                <w:szCs w:val="22"/>
              </w:rPr>
              <w:t>8.148.024.093</w:t>
            </w:r>
          </w:p>
        </w:tc>
        <w:tc>
          <w:tcPr>
            <w:tcW w:w="1866" w:type="dxa"/>
          </w:tcPr>
          <w:p w:rsidR="007335FD" w:rsidRDefault="00815898">
            <w:pPr>
              <w:pStyle w:val="NoSpacing"/>
              <w:jc w:val="right"/>
              <w:rPr>
                <w:sz w:val="22"/>
                <w:szCs w:val="22"/>
              </w:rPr>
            </w:pPr>
            <w:r>
              <w:rPr>
                <w:rFonts w:eastAsia="Batang" w:cs="Aparajita"/>
                <w:sz w:val="22"/>
                <w:szCs w:val="22"/>
              </w:rPr>
              <w:t>7.837.304.271,00</w:t>
            </w:r>
          </w:p>
        </w:tc>
        <w:tc>
          <w:tcPr>
            <w:tcW w:w="1812" w:type="dxa"/>
          </w:tcPr>
          <w:p w:rsidR="007335FD" w:rsidRDefault="00815898">
            <w:pPr>
              <w:pStyle w:val="NoSpacing"/>
              <w:jc w:val="right"/>
              <w:rPr>
                <w:sz w:val="22"/>
                <w:szCs w:val="22"/>
              </w:rPr>
            </w:pPr>
            <w:r>
              <w:rPr>
                <w:sz w:val="22"/>
                <w:szCs w:val="22"/>
              </w:rPr>
              <w:t>310.719.822</w:t>
            </w:r>
          </w:p>
        </w:tc>
        <w:tc>
          <w:tcPr>
            <w:tcW w:w="1276" w:type="dxa"/>
          </w:tcPr>
          <w:p w:rsidR="007335FD" w:rsidRDefault="00815898">
            <w:pPr>
              <w:pStyle w:val="NoSpacing"/>
              <w:jc w:val="right"/>
              <w:rPr>
                <w:sz w:val="22"/>
                <w:szCs w:val="22"/>
              </w:rPr>
            </w:pPr>
            <w:r>
              <w:rPr>
                <w:sz w:val="22"/>
                <w:szCs w:val="22"/>
              </w:rPr>
              <w:t>96,19</w:t>
            </w:r>
          </w:p>
        </w:tc>
      </w:tr>
      <w:tr w:rsidR="007335FD">
        <w:trPr>
          <w:trHeight w:val="319"/>
        </w:trPr>
        <w:tc>
          <w:tcPr>
            <w:tcW w:w="2553" w:type="dxa"/>
          </w:tcPr>
          <w:p w:rsidR="007335FD" w:rsidRDefault="00815898">
            <w:pPr>
              <w:pStyle w:val="NoSpacing"/>
              <w:numPr>
                <w:ilvl w:val="0"/>
                <w:numId w:val="58"/>
              </w:numPr>
              <w:ind w:left="426" w:hanging="142"/>
              <w:rPr>
                <w:sz w:val="22"/>
                <w:szCs w:val="22"/>
                <w:lang w:val="fi-FI"/>
              </w:rPr>
            </w:pPr>
            <w:r>
              <w:rPr>
                <w:sz w:val="22"/>
                <w:szCs w:val="22"/>
                <w:lang w:val="fi-FI"/>
              </w:rPr>
              <w:t>Belanja barang dan jasa</w:t>
            </w:r>
          </w:p>
        </w:tc>
        <w:tc>
          <w:tcPr>
            <w:tcW w:w="1808" w:type="dxa"/>
          </w:tcPr>
          <w:p w:rsidR="007335FD" w:rsidRDefault="00815898">
            <w:pPr>
              <w:pStyle w:val="NoSpacing"/>
              <w:jc w:val="right"/>
              <w:rPr>
                <w:sz w:val="22"/>
                <w:szCs w:val="22"/>
              </w:rPr>
            </w:pPr>
            <w:r>
              <w:rPr>
                <w:sz w:val="22"/>
                <w:szCs w:val="22"/>
              </w:rPr>
              <w:t>7.174.924.093</w:t>
            </w:r>
          </w:p>
        </w:tc>
        <w:tc>
          <w:tcPr>
            <w:tcW w:w="1866" w:type="dxa"/>
          </w:tcPr>
          <w:p w:rsidR="007335FD" w:rsidRDefault="00815898">
            <w:pPr>
              <w:pStyle w:val="NoSpacing"/>
              <w:jc w:val="right"/>
              <w:rPr>
                <w:sz w:val="22"/>
                <w:szCs w:val="22"/>
              </w:rPr>
            </w:pPr>
            <w:r>
              <w:rPr>
                <w:rFonts w:cs="Andalus"/>
                <w:sz w:val="22"/>
                <w:szCs w:val="22"/>
              </w:rPr>
              <w:t>6.893.111.821,00</w:t>
            </w:r>
          </w:p>
        </w:tc>
        <w:tc>
          <w:tcPr>
            <w:tcW w:w="1812" w:type="dxa"/>
          </w:tcPr>
          <w:p w:rsidR="007335FD" w:rsidRDefault="00815898">
            <w:pPr>
              <w:pStyle w:val="NoSpacing"/>
              <w:jc w:val="right"/>
              <w:rPr>
                <w:sz w:val="22"/>
                <w:szCs w:val="22"/>
              </w:rPr>
            </w:pPr>
            <w:r>
              <w:rPr>
                <w:sz w:val="22"/>
                <w:szCs w:val="22"/>
              </w:rPr>
              <w:t>281.812.272</w:t>
            </w:r>
          </w:p>
        </w:tc>
        <w:tc>
          <w:tcPr>
            <w:tcW w:w="1276" w:type="dxa"/>
          </w:tcPr>
          <w:p w:rsidR="007335FD" w:rsidRDefault="00815898">
            <w:pPr>
              <w:spacing w:line="360" w:lineRule="auto"/>
              <w:ind w:right="-22"/>
              <w:jc w:val="right"/>
            </w:pPr>
            <w:r>
              <w:t>96,07</w:t>
            </w:r>
          </w:p>
        </w:tc>
      </w:tr>
      <w:tr w:rsidR="007335FD">
        <w:tc>
          <w:tcPr>
            <w:tcW w:w="2553" w:type="dxa"/>
            <w:tcBorders>
              <w:bottom w:val="single" w:sz="4" w:space="0" w:color="auto"/>
            </w:tcBorders>
          </w:tcPr>
          <w:p w:rsidR="007335FD" w:rsidRDefault="00815898">
            <w:pPr>
              <w:pStyle w:val="NoSpacing"/>
              <w:numPr>
                <w:ilvl w:val="0"/>
                <w:numId w:val="58"/>
              </w:numPr>
              <w:ind w:left="426" w:hanging="142"/>
              <w:rPr>
                <w:sz w:val="22"/>
                <w:szCs w:val="22"/>
                <w:lang w:val="fi-FI"/>
              </w:rPr>
            </w:pPr>
            <w:r>
              <w:rPr>
                <w:sz w:val="22"/>
                <w:szCs w:val="22"/>
                <w:lang w:val="fi-FI"/>
              </w:rPr>
              <w:t>Belanja modal</w:t>
            </w:r>
          </w:p>
        </w:tc>
        <w:tc>
          <w:tcPr>
            <w:tcW w:w="1808" w:type="dxa"/>
            <w:tcBorders>
              <w:bottom w:val="single" w:sz="4" w:space="0" w:color="auto"/>
            </w:tcBorders>
          </w:tcPr>
          <w:p w:rsidR="007335FD" w:rsidRDefault="00815898">
            <w:pPr>
              <w:pStyle w:val="NoSpacing"/>
              <w:jc w:val="right"/>
              <w:rPr>
                <w:sz w:val="22"/>
                <w:szCs w:val="22"/>
              </w:rPr>
            </w:pPr>
            <w:r>
              <w:rPr>
                <w:sz w:val="22"/>
                <w:szCs w:val="22"/>
              </w:rPr>
              <w:t>973.100.000</w:t>
            </w:r>
          </w:p>
        </w:tc>
        <w:tc>
          <w:tcPr>
            <w:tcW w:w="1866" w:type="dxa"/>
            <w:tcBorders>
              <w:bottom w:val="single" w:sz="4" w:space="0" w:color="auto"/>
            </w:tcBorders>
          </w:tcPr>
          <w:p w:rsidR="007335FD" w:rsidRDefault="00815898">
            <w:pPr>
              <w:pStyle w:val="NoSpacing"/>
              <w:jc w:val="right"/>
              <w:rPr>
                <w:sz w:val="22"/>
                <w:szCs w:val="22"/>
              </w:rPr>
            </w:pPr>
            <w:r>
              <w:rPr>
                <w:sz w:val="22"/>
                <w:szCs w:val="22"/>
              </w:rPr>
              <w:t>944.192.450,00</w:t>
            </w:r>
          </w:p>
        </w:tc>
        <w:tc>
          <w:tcPr>
            <w:tcW w:w="1812" w:type="dxa"/>
            <w:tcBorders>
              <w:bottom w:val="single" w:sz="4" w:space="0" w:color="auto"/>
            </w:tcBorders>
          </w:tcPr>
          <w:p w:rsidR="007335FD" w:rsidRDefault="00815898">
            <w:pPr>
              <w:pStyle w:val="NoSpacing"/>
              <w:jc w:val="right"/>
              <w:rPr>
                <w:sz w:val="22"/>
                <w:szCs w:val="22"/>
              </w:rPr>
            </w:pPr>
            <w:r>
              <w:rPr>
                <w:sz w:val="22"/>
                <w:szCs w:val="22"/>
              </w:rPr>
              <w:t>28.907.550</w:t>
            </w:r>
          </w:p>
        </w:tc>
        <w:tc>
          <w:tcPr>
            <w:tcW w:w="1276" w:type="dxa"/>
            <w:tcBorders>
              <w:bottom w:val="single" w:sz="4" w:space="0" w:color="auto"/>
            </w:tcBorders>
          </w:tcPr>
          <w:p w:rsidR="007335FD" w:rsidRDefault="00815898">
            <w:pPr>
              <w:pStyle w:val="NoSpacing"/>
              <w:jc w:val="right"/>
              <w:rPr>
                <w:sz w:val="22"/>
                <w:szCs w:val="22"/>
              </w:rPr>
            </w:pPr>
            <w:r>
              <w:rPr>
                <w:sz w:val="22"/>
                <w:szCs w:val="22"/>
              </w:rPr>
              <w:t>97,03</w:t>
            </w:r>
          </w:p>
        </w:tc>
      </w:tr>
      <w:tr w:rsidR="007335FD">
        <w:tc>
          <w:tcPr>
            <w:tcW w:w="2553" w:type="dxa"/>
            <w:shd w:val="clear" w:color="auto" w:fill="C00000"/>
          </w:tcPr>
          <w:p w:rsidR="007335FD" w:rsidRDefault="00815898">
            <w:pPr>
              <w:pStyle w:val="NoSpacing"/>
              <w:ind w:left="426"/>
              <w:rPr>
                <w:b/>
                <w:sz w:val="22"/>
                <w:szCs w:val="22"/>
                <w:lang w:val="fi-FI"/>
              </w:rPr>
            </w:pPr>
            <w:r>
              <w:rPr>
                <w:b/>
                <w:sz w:val="22"/>
                <w:szCs w:val="22"/>
                <w:lang w:val="fi-FI"/>
              </w:rPr>
              <w:t>BELANJA</w:t>
            </w:r>
          </w:p>
        </w:tc>
        <w:tc>
          <w:tcPr>
            <w:tcW w:w="1808" w:type="dxa"/>
            <w:shd w:val="clear" w:color="auto" w:fill="C00000"/>
          </w:tcPr>
          <w:p w:rsidR="007335FD" w:rsidRDefault="00815898">
            <w:pPr>
              <w:pStyle w:val="NoSpacing"/>
              <w:jc w:val="right"/>
              <w:rPr>
                <w:rFonts w:cs="Andalus"/>
                <w:b/>
                <w:sz w:val="22"/>
                <w:szCs w:val="22"/>
              </w:rPr>
            </w:pPr>
            <w:r>
              <w:rPr>
                <w:rFonts w:ascii="Andalus" w:hAnsi="Andalus" w:cs="Andalus"/>
                <w:b/>
                <w:sz w:val="22"/>
                <w:szCs w:val="22"/>
              </w:rPr>
              <w:t>11.091.475.057</w:t>
            </w:r>
          </w:p>
        </w:tc>
        <w:tc>
          <w:tcPr>
            <w:tcW w:w="1866" w:type="dxa"/>
            <w:shd w:val="clear" w:color="auto" w:fill="C00000"/>
          </w:tcPr>
          <w:p w:rsidR="007335FD" w:rsidRDefault="00815898">
            <w:pPr>
              <w:pStyle w:val="NoSpacing"/>
              <w:jc w:val="right"/>
              <w:rPr>
                <w:rFonts w:cs="Andalus"/>
                <w:b/>
                <w:sz w:val="22"/>
                <w:szCs w:val="22"/>
              </w:rPr>
            </w:pPr>
            <w:r>
              <w:rPr>
                <w:rFonts w:ascii="Andalus" w:hAnsi="Andalus" w:cs="Andalus"/>
                <w:b/>
                <w:bCs/>
                <w:sz w:val="22"/>
                <w:szCs w:val="22"/>
              </w:rPr>
              <w:t>9.975.416.126</w:t>
            </w:r>
          </w:p>
        </w:tc>
        <w:tc>
          <w:tcPr>
            <w:tcW w:w="1812" w:type="dxa"/>
            <w:shd w:val="clear" w:color="auto" w:fill="C00000"/>
          </w:tcPr>
          <w:p w:rsidR="007335FD" w:rsidRDefault="00815898">
            <w:pPr>
              <w:pStyle w:val="NoSpacing"/>
              <w:jc w:val="right"/>
              <w:rPr>
                <w:b/>
                <w:sz w:val="22"/>
                <w:szCs w:val="22"/>
                <w:lang w:val="fi-FI"/>
              </w:rPr>
            </w:pPr>
            <w:r>
              <w:rPr>
                <w:b/>
                <w:sz w:val="22"/>
                <w:szCs w:val="22"/>
                <w:lang w:val="fi-FI"/>
              </w:rPr>
              <w:t>1.116.058.931</w:t>
            </w:r>
          </w:p>
        </w:tc>
        <w:tc>
          <w:tcPr>
            <w:tcW w:w="1276" w:type="dxa"/>
            <w:shd w:val="clear" w:color="auto" w:fill="C00000"/>
          </w:tcPr>
          <w:p w:rsidR="007335FD" w:rsidRDefault="00815898">
            <w:pPr>
              <w:pStyle w:val="NoSpacing"/>
              <w:jc w:val="right"/>
              <w:rPr>
                <w:rFonts w:cs="Andalus"/>
                <w:b/>
                <w:sz w:val="22"/>
                <w:szCs w:val="22"/>
                <w:lang w:val="fi-FI"/>
              </w:rPr>
            </w:pPr>
            <w:r>
              <w:rPr>
                <w:rFonts w:ascii="Andalus" w:hAnsi="Andalus" w:cs="Andalus"/>
                <w:b/>
                <w:sz w:val="22"/>
                <w:szCs w:val="22"/>
              </w:rPr>
              <w:t>89,93%</w:t>
            </w:r>
          </w:p>
        </w:tc>
      </w:tr>
    </w:tbl>
    <w:p w:rsidR="007335FD" w:rsidRDefault="007335FD">
      <w:pPr>
        <w:pStyle w:val="NoSpacing"/>
        <w:jc w:val="center"/>
        <w:rPr>
          <w:rFonts w:ascii="Berlin Sans FB Demi" w:hAnsi="Berlin Sans FB Demi"/>
          <w:b/>
          <w:sz w:val="24"/>
          <w:szCs w:val="24"/>
          <w:lang w:val="fi-FI"/>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p>
    <w:p w:rsidR="00A71BFC" w:rsidRDefault="00A71BFC">
      <w:pPr>
        <w:pStyle w:val="NoSpacing"/>
        <w:jc w:val="center"/>
        <w:rPr>
          <w:rFonts w:ascii="Berlin Sans FB Demi" w:hAnsi="Berlin Sans FB Demi" w:cs="Aparajita"/>
          <w:b/>
          <w:sz w:val="24"/>
          <w:szCs w:val="24"/>
        </w:rPr>
      </w:pPr>
      <w:bookmarkStart w:id="0" w:name="_GoBack"/>
      <w:bookmarkEnd w:id="0"/>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p w:rsidR="007335FD" w:rsidRDefault="007335FD">
      <w:pPr>
        <w:pStyle w:val="NoSpacing"/>
        <w:jc w:val="center"/>
        <w:rPr>
          <w:rFonts w:ascii="Berlin Sans FB Demi" w:hAnsi="Berlin Sans FB Demi" w:cs="Aparajita"/>
          <w:b/>
          <w:sz w:val="24"/>
          <w:szCs w:val="24"/>
        </w:rPr>
      </w:pPr>
    </w:p>
    <w:tbl>
      <w:tblPr>
        <w:tblStyle w:val="TableGrid"/>
        <w:tblW w:w="94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006600"/>
        <w:tblLayout w:type="fixed"/>
        <w:tblLook w:val="04A0" w:firstRow="1" w:lastRow="0" w:firstColumn="1" w:lastColumn="0" w:noHBand="0" w:noVBand="1"/>
      </w:tblPr>
      <w:tblGrid>
        <w:gridCol w:w="2045"/>
        <w:gridCol w:w="7430"/>
      </w:tblGrid>
      <w:tr w:rsidR="007335FD">
        <w:trPr>
          <w:trHeight w:val="615"/>
        </w:trPr>
        <w:tc>
          <w:tcPr>
            <w:tcW w:w="2045" w:type="dxa"/>
            <w:shd w:val="clear" w:color="auto" w:fill="C00000"/>
          </w:tcPr>
          <w:p w:rsidR="007335FD" w:rsidRDefault="00815898">
            <w:pPr>
              <w:rPr>
                <w:rFonts w:ascii="Segoe UI Black" w:hAnsi="Segoe UI Black" w:cs="Segoe UI Black"/>
                <w:color w:val="FFFFFF" w:themeColor="background1"/>
                <w:sz w:val="52"/>
                <w:szCs w:val="52"/>
              </w:rPr>
            </w:pPr>
            <w:r>
              <w:rPr>
                <w:rFonts w:ascii="Segoe UI Black" w:hAnsi="Segoe UI Black" w:cs="Segoe UI Black"/>
                <w:color w:val="FFFFFF" w:themeColor="background1"/>
                <w:sz w:val="52"/>
                <w:szCs w:val="52"/>
              </w:rPr>
              <w:lastRenderedPageBreak/>
              <w:t xml:space="preserve">BAB IV </w:t>
            </w:r>
          </w:p>
        </w:tc>
        <w:tc>
          <w:tcPr>
            <w:tcW w:w="7430" w:type="dxa"/>
            <w:shd w:val="clear" w:color="auto" w:fill="C00000"/>
          </w:tcPr>
          <w:p w:rsidR="007335FD" w:rsidRDefault="00815898">
            <w:pPr>
              <w:jc w:val="center"/>
              <w:rPr>
                <w:rFonts w:ascii="Segoe UI Black" w:hAnsi="Segoe UI Black" w:cs="Segoe UI Black"/>
                <w:color w:val="FFFFFF" w:themeColor="background1"/>
                <w:sz w:val="52"/>
                <w:szCs w:val="52"/>
              </w:rPr>
            </w:pPr>
            <w:r>
              <w:rPr>
                <w:rFonts w:ascii="Segoe UI Black" w:hAnsi="Segoe UI Black" w:cs="Segoe UI Black"/>
                <w:color w:val="FFFFFF" w:themeColor="background1"/>
                <w:sz w:val="52"/>
                <w:szCs w:val="52"/>
              </w:rPr>
              <w:t>PENUTUP</w:t>
            </w:r>
          </w:p>
        </w:tc>
      </w:tr>
    </w:tbl>
    <w:p w:rsidR="007335FD" w:rsidRDefault="007335FD">
      <w:pPr>
        <w:autoSpaceDE w:val="0"/>
        <w:autoSpaceDN w:val="0"/>
        <w:adjustRightInd w:val="0"/>
        <w:spacing w:after="0" w:line="360" w:lineRule="auto"/>
        <w:jc w:val="both"/>
        <w:rPr>
          <w:rFonts w:ascii="Segoe UI Black" w:hAnsi="Segoe UI Black" w:cs="Segoe UI Black"/>
          <w:b/>
          <w:bCs/>
          <w:sz w:val="24"/>
          <w:szCs w:val="24"/>
        </w:rPr>
      </w:pPr>
    </w:p>
    <w:p w:rsidR="007335FD" w:rsidRDefault="00851EC5">
      <w:pPr>
        <w:autoSpaceDE w:val="0"/>
        <w:autoSpaceDN w:val="0"/>
        <w:adjustRightInd w:val="0"/>
        <w:spacing w:after="0" w:line="360" w:lineRule="auto"/>
        <w:jc w:val="both"/>
        <w:rPr>
          <w:rFonts w:cs="Aparajita"/>
          <w:sz w:val="24"/>
          <w:szCs w:val="24"/>
        </w:rPr>
      </w:pPr>
      <w:r>
        <w:pict>
          <v:shape id="_x0000_s1044" type="#_x0000_t32" style="position:absolute;left:0;text-align:left;margin-left:1.65pt;margin-top:22.05pt;width:462.7pt;height:0;z-index:352439296;mso-width-relative:page;mso-height-relative:page" strokecolor="#c00000" strokeweight="4.5pt"/>
        </w:pict>
      </w:r>
      <w:proofErr w:type="gramStart"/>
      <w:r w:rsidR="00815898">
        <w:rPr>
          <w:rFonts w:ascii="Segoe UI Black" w:hAnsi="Segoe UI Black" w:cs="Segoe UI Black"/>
          <w:b/>
          <w:bCs/>
          <w:sz w:val="24"/>
          <w:szCs w:val="24"/>
        </w:rPr>
        <w:t>4.1  Kesimpulan</w:t>
      </w:r>
      <w:proofErr w:type="gramEnd"/>
    </w:p>
    <w:p w:rsidR="007335FD" w:rsidRDefault="007335FD">
      <w:pPr>
        <w:autoSpaceDE w:val="0"/>
        <w:autoSpaceDN w:val="0"/>
        <w:adjustRightInd w:val="0"/>
        <w:spacing w:after="0" w:line="240" w:lineRule="auto"/>
        <w:ind w:firstLine="540"/>
        <w:rPr>
          <w:rFonts w:ascii="Berlin Sans FB" w:hAnsi="Berlin Sans FB" w:cs="Arial"/>
          <w:sz w:val="24"/>
          <w:szCs w:val="24"/>
        </w:rPr>
      </w:pPr>
    </w:p>
    <w:p w:rsidR="007335FD" w:rsidRDefault="00815898">
      <w:pPr>
        <w:keepNext/>
        <w:framePr w:dropCap="drop" w:lines="3" w:wrap="around" w:vAnchor="text" w:hAnchor="text"/>
        <w:spacing w:after="0" w:line="1187" w:lineRule="exact"/>
        <w:jc w:val="both"/>
        <w:textAlignment w:val="baseline"/>
        <w:rPr>
          <w:rFonts w:ascii="Berlin Sans FB" w:hAnsi="Berlin Sans FB" w:cs="Tahoma"/>
          <w:bCs/>
          <w:i/>
          <w:position w:val="-5"/>
          <w:sz w:val="143"/>
          <w:szCs w:val="24"/>
        </w:rPr>
      </w:pPr>
      <w:r>
        <w:rPr>
          <w:rFonts w:ascii="Berlin Sans FB" w:hAnsi="Berlin Sans FB" w:cs="Tahoma"/>
          <w:bCs/>
          <w:i/>
          <w:position w:val="-5"/>
          <w:sz w:val="143"/>
          <w:szCs w:val="24"/>
        </w:rPr>
        <w:t>L</w:t>
      </w:r>
    </w:p>
    <w:p w:rsidR="007335FD" w:rsidRDefault="00815898">
      <w:pPr>
        <w:autoSpaceDE w:val="0"/>
        <w:autoSpaceDN w:val="0"/>
        <w:adjustRightInd w:val="0"/>
        <w:spacing w:after="0" w:line="360" w:lineRule="auto"/>
        <w:jc w:val="both"/>
        <w:rPr>
          <w:rFonts w:cs="Aparajita"/>
          <w:bCs/>
          <w:sz w:val="24"/>
          <w:szCs w:val="24"/>
        </w:rPr>
      </w:pPr>
      <w:r>
        <w:rPr>
          <w:rFonts w:cs="Aparajita"/>
          <w:bCs/>
          <w:sz w:val="24"/>
          <w:szCs w:val="24"/>
        </w:rPr>
        <w:t xml:space="preserve">Aporan Kinerja tahun 2018 merupakan kelanjutan laporan kinerja Badan Kesatuan Bangsa dan Politik Provinsi Sumatera Barat Tahun 2017 yang dibuat untuk menggambarkan capaian kinerja dan prestasi maupun permasalahan yang dihadapi Badan Kesatuan Bangsa dan Politik Provinsi Sumatera Barat. </w:t>
      </w:r>
      <w:proofErr w:type="gramStart"/>
      <w:r>
        <w:rPr>
          <w:rFonts w:cs="Aparajita"/>
          <w:bCs/>
          <w:sz w:val="24"/>
          <w:szCs w:val="24"/>
        </w:rPr>
        <w:t>Laporan kinerja ini dapat dijadikan tolak ukur keberhasilan/kegagalan pencapaian sasaran dalam Rencana Strategis (Renstra) untuk mengetahui sejauhmana manfaat pelayanan di bidang Pembinaan Kesatuan Bangsa dan Politik bagi masyarakat.</w:t>
      </w:r>
      <w:proofErr w:type="gramEnd"/>
      <w:r>
        <w:rPr>
          <w:rFonts w:cs="Aparajita"/>
          <w:bCs/>
          <w:sz w:val="24"/>
          <w:szCs w:val="24"/>
        </w:rPr>
        <w:t xml:space="preserve"> </w:t>
      </w:r>
    </w:p>
    <w:p w:rsidR="007335FD" w:rsidRDefault="00815898">
      <w:pPr>
        <w:autoSpaceDE w:val="0"/>
        <w:autoSpaceDN w:val="0"/>
        <w:adjustRightInd w:val="0"/>
        <w:spacing w:after="0" w:line="360" w:lineRule="auto"/>
        <w:ind w:firstLine="720"/>
        <w:jc w:val="both"/>
        <w:rPr>
          <w:rFonts w:cs="Aparajita"/>
          <w:bCs/>
          <w:sz w:val="24"/>
          <w:szCs w:val="24"/>
        </w:rPr>
      </w:pPr>
      <w:proofErr w:type="gramStart"/>
      <w:r>
        <w:rPr>
          <w:rFonts w:cs="Aparajita"/>
          <w:bCs/>
          <w:sz w:val="24"/>
          <w:szCs w:val="24"/>
        </w:rPr>
        <w:t>Penyajian data laporan kinerja ini didasarkan kepada beberapa indikator kinerja yang ada pada Badan Kesatuan Bangsa dan Politik, melalui penggunaan indikator kinerja sasaran.</w:t>
      </w:r>
      <w:proofErr w:type="gramEnd"/>
      <w:r>
        <w:rPr>
          <w:rFonts w:cs="Aparajita"/>
          <w:bCs/>
          <w:sz w:val="24"/>
          <w:szCs w:val="24"/>
        </w:rPr>
        <w:t xml:space="preserve"> Secara garis besar, berdasarkan hasil evaluasi terhadap pencapaian sasaran kinerja Badan Kesatuan Bangsa dan Politik Provinsi Sumatera Barat Tahun 2018 dapat disimpulkan hal-hal sebagai berikut :</w:t>
      </w:r>
    </w:p>
    <w:p w:rsidR="007335FD" w:rsidRDefault="00815898">
      <w:pPr>
        <w:pStyle w:val="ListParagraph"/>
        <w:numPr>
          <w:ilvl w:val="0"/>
          <w:numId w:val="59"/>
        </w:numPr>
        <w:autoSpaceDE w:val="0"/>
        <w:autoSpaceDN w:val="0"/>
        <w:adjustRightInd w:val="0"/>
        <w:spacing w:after="0" w:line="360" w:lineRule="auto"/>
        <w:ind w:left="360"/>
        <w:jc w:val="both"/>
        <w:rPr>
          <w:rFonts w:cs="Aparajita"/>
          <w:bCs/>
          <w:sz w:val="24"/>
          <w:szCs w:val="24"/>
        </w:rPr>
      </w:pPr>
      <w:r>
        <w:rPr>
          <w:rFonts w:cs="Aparajita"/>
          <w:bCs/>
          <w:sz w:val="24"/>
          <w:szCs w:val="24"/>
        </w:rPr>
        <w:t>Laporan kinerja Badan Kesatuan Bangsa dan Politik Tahun 2018 mencakup 3 (tiga) sasaran strategis yang diukur dengan 5 (</w:t>
      </w:r>
      <w:proofErr w:type="gramStart"/>
      <w:r>
        <w:rPr>
          <w:rFonts w:cs="Aparajita"/>
          <w:bCs/>
          <w:sz w:val="24"/>
          <w:szCs w:val="24"/>
        </w:rPr>
        <w:t>lima</w:t>
      </w:r>
      <w:proofErr w:type="gramEnd"/>
      <w:r>
        <w:rPr>
          <w:rFonts w:cs="Aparajita"/>
          <w:bCs/>
          <w:sz w:val="24"/>
          <w:szCs w:val="24"/>
        </w:rPr>
        <w:t>) indikator kinerja.</w:t>
      </w:r>
    </w:p>
    <w:p w:rsidR="007335FD" w:rsidRDefault="00815898">
      <w:pPr>
        <w:pStyle w:val="ListParagraph"/>
        <w:numPr>
          <w:ilvl w:val="0"/>
          <w:numId w:val="59"/>
        </w:numPr>
        <w:autoSpaceDE w:val="0"/>
        <w:autoSpaceDN w:val="0"/>
        <w:adjustRightInd w:val="0"/>
        <w:spacing w:after="0" w:line="360" w:lineRule="auto"/>
        <w:ind w:left="360"/>
        <w:jc w:val="both"/>
        <w:rPr>
          <w:rFonts w:cs="Aparajita"/>
          <w:bCs/>
          <w:sz w:val="24"/>
          <w:szCs w:val="24"/>
        </w:rPr>
      </w:pPr>
      <w:r>
        <w:rPr>
          <w:rFonts w:cs="Aparajita"/>
          <w:bCs/>
          <w:sz w:val="24"/>
          <w:szCs w:val="24"/>
        </w:rPr>
        <w:t>Rata-rata capaian 5 (lima) indikator kinerja sebesar 203</w:t>
      </w:r>
      <w:proofErr w:type="gramStart"/>
      <w:r>
        <w:rPr>
          <w:rFonts w:cs="Aparajita"/>
          <w:bCs/>
          <w:sz w:val="24"/>
          <w:szCs w:val="24"/>
        </w:rPr>
        <w:t>,04</w:t>
      </w:r>
      <w:proofErr w:type="gramEnd"/>
      <w:r>
        <w:rPr>
          <w:rFonts w:cs="Aparajita"/>
          <w:bCs/>
          <w:sz w:val="24"/>
          <w:szCs w:val="24"/>
        </w:rPr>
        <w:t xml:space="preserve"> %. Artinya secara umum capaian indikator kinerja Badan Kesatuan Bangsa dan Politik Provinsi Sumatera Barat Tahun 2018 termasuk berhasil dengan kategori </w:t>
      </w:r>
      <w:r>
        <w:rPr>
          <w:rFonts w:cs="Aparajita"/>
          <w:b/>
          <w:bCs/>
          <w:sz w:val="24"/>
          <w:szCs w:val="24"/>
        </w:rPr>
        <w:t>sangat baik.</w:t>
      </w:r>
    </w:p>
    <w:p w:rsidR="007335FD" w:rsidRDefault="00815898">
      <w:pPr>
        <w:pStyle w:val="ListParagraph"/>
        <w:numPr>
          <w:ilvl w:val="0"/>
          <w:numId w:val="59"/>
        </w:numPr>
        <w:autoSpaceDE w:val="0"/>
        <w:autoSpaceDN w:val="0"/>
        <w:adjustRightInd w:val="0"/>
        <w:spacing w:after="0" w:line="360" w:lineRule="auto"/>
        <w:ind w:left="360"/>
        <w:jc w:val="both"/>
        <w:rPr>
          <w:rFonts w:cs="Aparajita"/>
          <w:bCs/>
          <w:sz w:val="24"/>
          <w:szCs w:val="24"/>
        </w:rPr>
      </w:pPr>
      <w:r>
        <w:rPr>
          <w:rFonts w:cs="Aparajita"/>
          <w:bCs/>
          <w:sz w:val="24"/>
          <w:szCs w:val="24"/>
        </w:rPr>
        <w:t>Kategori penilaian keberhasilan capaian 5 (lima) indikator kinerja adalah sebagai berikut:</w:t>
      </w:r>
    </w:p>
    <w:p w:rsidR="007335FD" w:rsidRDefault="00815898">
      <w:pPr>
        <w:pStyle w:val="ListParagraph"/>
        <w:numPr>
          <w:ilvl w:val="0"/>
          <w:numId w:val="60"/>
        </w:numPr>
        <w:autoSpaceDE w:val="0"/>
        <w:autoSpaceDN w:val="0"/>
        <w:adjustRightInd w:val="0"/>
        <w:spacing w:after="0" w:line="360" w:lineRule="auto"/>
        <w:jc w:val="both"/>
        <w:rPr>
          <w:rFonts w:cs="Aparajita"/>
          <w:bCs/>
          <w:sz w:val="24"/>
          <w:szCs w:val="24"/>
        </w:rPr>
      </w:pPr>
      <w:r>
        <w:rPr>
          <w:rFonts w:cs="Aparajita"/>
          <w:bCs/>
          <w:sz w:val="24"/>
          <w:szCs w:val="24"/>
        </w:rPr>
        <w:t xml:space="preserve">Capaian indikator kinerja yang berhasil dengan kategori </w:t>
      </w:r>
      <w:r>
        <w:rPr>
          <w:rFonts w:cs="Aparajita"/>
          <w:b/>
          <w:bCs/>
          <w:sz w:val="24"/>
          <w:szCs w:val="24"/>
        </w:rPr>
        <w:t xml:space="preserve">sangat baik </w:t>
      </w:r>
      <w:r>
        <w:rPr>
          <w:rFonts w:cs="Aparajita"/>
          <w:bCs/>
          <w:sz w:val="24"/>
          <w:szCs w:val="24"/>
        </w:rPr>
        <w:t xml:space="preserve">(sebesar </w:t>
      </w:r>
      <w:r>
        <w:rPr>
          <w:rFonts w:cs="Times New Roman"/>
          <w:bCs/>
          <w:sz w:val="24"/>
          <w:szCs w:val="24"/>
        </w:rPr>
        <w:t>≥</w:t>
      </w:r>
      <w:r>
        <w:rPr>
          <w:rFonts w:cs="Aparajita"/>
          <w:bCs/>
          <w:sz w:val="24"/>
          <w:szCs w:val="24"/>
        </w:rPr>
        <w:t>85%) sebanyak 5 (lima)  indikator kinerja</w:t>
      </w:r>
    </w:p>
    <w:p w:rsidR="007335FD" w:rsidRDefault="00815898">
      <w:pPr>
        <w:pStyle w:val="ListParagraph"/>
        <w:numPr>
          <w:ilvl w:val="0"/>
          <w:numId w:val="60"/>
        </w:numPr>
        <w:autoSpaceDE w:val="0"/>
        <w:autoSpaceDN w:val="0"/>
        <w:adjustRightInd w:val="0"/>
        <w:spacing w:after="0" w:line="360" w:lineRule="auto"/>
        <w:jc w:val="both"/>
        <w:rPr>
          <w:rFonts w:cs="Aparajita"/>
          <w:bCs/>
          <w:sz w:val="24"/>
          <w:szCs w:val="24"/>
        </w:rPr>
      </w:pPr>
      <w:r>
        <w:rPr>
          <w:rFonts w:cs="Aparajita"/>
          <w:bCs/>
          <w:sz w:val="24"/>
          <w:szCs w:val="24"/>
        </w:rPr>
        <w:t xml:space="preserve">Capaian indkator kinerja yang berhasil dengan kategori </w:t>
      </w:r>
      <w:r>
        <w:rPr>
          <w:rFonts w:cs="Aparajita"/>
          <w:b/>
          <w:bCs/>
          <w:sz w:val="24"/>
          <w:szCs w:val="24"/>
        </w:rPr>
        <w:t xml:space="preserve">baik </w:t>
      </w:r>
      <w:r>
        <w:rPr>
          <w:rFonts w:cs="Aparajita"/>
          <w:bCs/>
          <w:sz w:val="24"/>
          <w:szCs w:val="24"/>
        </w:rPr>
        <w:t>(</w:t>
      </w:r>
      <w:r>
        <w:rPr>
          <w:rFonts w:cs="Aparajita"/>
          <w:sz w:val="24"/>
          <w:szCs w:val="24"/>
        </w:rPr>
        <w:t xml:space="preserve">69%-84%) </w:t>
      </w:r>
      <w:r>
        <w:rPr>
          <w:rFonts w:cs="Aparajita"/>
          <w:bCs/>
          <w:sz w:val="24"/>
          <w:szCs w:val="24"/>
        </w:rPr>
        <w:t>sebanyak 1(satu) indikator kinerja.</w:t>
      </w:r>
    </w:p>
    <w:p w:rsidR="007335FD" w:rsidRDefault="00815898">
      <w:pPr>
        <w:pStyle w:val="ListParagraph"/>
        <w:numPr>
          <w:ilvl w:val="0"/>
          <w:numId w:val="59"/>
        </w:numPr>
        <w:autoSpaceDE w:val="0"/>
        <w:autoSpaceDN w:val="0"/>
        <w:adjustRightInd w:val="0"/>
        <w:spacing w:after="0" w:line="360" w:lineRule="auto"/>
        <w:ind w:left="426" w:hanging="426"/>
        <w:jc w:val="both"/>
        <w:rPr>
          <w:rFonts w:hAnsi="Aparajita" w:cs="Aparajita"/>
          <w:sz w:val="24"/>
          <w:szCs w:val="24"/>
        </w:rPr>
      </w:pPr>
      <w:r>
        <w:rPr>
          <w:rFonts w:cs="Aparajita"/>
          <w:bCs/>
          <w:sz w:val="24"/>
          <w:szCs w:val="24"/>
        </w:rPr>
        <w:t>Anggaran program yang menunjang pencapaian 3(tiga) sasaran strategis dan 5(lima) indikator kinerja adalah sebesar Rp.</w:t>
      </w:r>
      <w:r>
        <w:rPr>
          <w:rFonts w:eastAsia="Batang" w:cs="Aparajita"/>
          <w:bCs/>
          <w:color w:val="000000"/>
          <w:sz w:val="24"/>
          <w:szCs w:val="24"/>
        </w:rPr>
        <w:t>8.148.024.093</w:t>
      </w:r>
      <w:proofErr w:type="gramStart"/>
      <w:r>
        <w:rPr>
          <w:rFonts w:cs="Aparajita"/>
          <w:bCs/>
          <w:sz w:val="24"/>
          <w:szCs w:val="24"/>
        </w:rPr>
        <w:t>,-</w:t>
      </w:r>
      <w:proofErr w:type="gramEnd"/>
      <w:r>
        <w:rPr>
          <w:rFonts w:cs="Aparajita"/>
          <w:bCs/>
          <w:sz w:val="24"/>
          <w:szCs w:val="24"/>
        </w:rPr>
        <w:t xml:space="preserve"> direalisasikan sebesar Rp. </w:t>
      </w:r>
      <w:r>
        <w:rPr>
          <w:rFonts w:eastAsia="Batang" w:cs="Aparajita"/>
          <w:bCs/>
          <w:sz w:val="24"/>
          <w:szCs w:val="24"/>
          <w:u w:val="single"/>
        </w:rPr>
        <w:t>7.837.304.271</w:t>
      </w:r>
      <w:r>
        <w:rPr>
          <w:rFonts w:cs="Aparajita"/>
          <w:bCs/>
          <w:sz w:val="24"/>
          <w:szCs w:val="24"/>
        </w:rPr>
        <w:t xml:space="preserve">  atau 96,19%. Artinya dalam pelaksanaan program/kegiatan yang menunjang pencapaian 3 </w:t>
      </w:r>
      <w:r>
        <w:rPr>
          <w:rFonts w:cs="Aparajita"/>
          <w:sz w:val="24"/>
          <w:szCs w:val="24"/>
        </w:rPr>
        <w:t xml:space="preserve">(tiga) sasaran strategis terdapat sisa anggaran sebesar 3,81% atau secara absolute sebesar Rp. </w:t>
      </w:r>
      <w:r>
        <w:rPr>
          <w:sz w:val="24"/>
          <w:szCs w:val="24"/>
        </w:rPr>
        <w:t>310.719.822</w:t>
      </w:r>
      <w:r>
        <w:rPr>
          <w:rFonts w:cs="Aparajita"/>
          <w:sz w:val="24"/>
          <w:szCs w:val="24"/>
        </w:rPr>
        <w:t>,-</w:t>
      </w:r>
    </w:p>
    <w:p w:rsidR="007335FD" w:rsidRDefault="007335FD">
      <w:pPr>
        <w:pStyle w:val="ListParagraph"/>
        <w:autoSpaceDE w:val="0"/>
        <w:autoSpaceDN w:val="0"/>
        <w:adjustRightInd w:val="0"/>
        <w:spacing w:after="0" w:line="360" w:lineRule="auto"/>
        <w:ind w:left="0"/>
        <w:jc w:val="both"/>
        <w:rPr>
          <w:rFonts w:hAnsi="Aparajita" w:cs="Aparajita"/>
          <w:sz w:val="24"/>
          <w:szCs w:val="24"/>
        </w:rPr>
      </w:pPr>
    </w:p>
    <w:p w:rsidR="007335FD" w:rsidRDefault="00851EC5">
      <w:pPr>
        <w:autoSpaceDE w:val="0"/>
        <w:autoSpaceDN w:val="0"/>
        <w:adjustRightInd w:val="0"/>
        <w:spacing w:after="0" w:line="360" w:lineRule="auto"/>
        <w:jc w:val="both"/>
        <w:rPr>
          <w:rFonts w:cs="Aparajita"/>
          <w:sz w:val="24"/>
          <w:szCs w:val="24"/>
        </w:rPr>
      </w:pPr>
      <w:r>
        <w:pict>
          <v:shape id="_x0000_s1046" type="#_x0000_t32" style="position:absolute;left:0;text-align:left;margin-left:1.65pt;margin-top:22.05pt;width:462.7pt;height:0;z-index:453221376;mso-width-relative:page;mso-height-relative:page" strokecolor="#c00000" strokeweight="4.5pt"/>
        </w:pict>
      </w:r>
      <w:r w:rsidR="00815898">
        <w:rPr>
          <w:rFonts w:ascii="Segoe UI Black" w:hAnsi="Segoe UI Black" w:cs="Segoe UI Black"/>
          <w:b/>
          <w:bCs/>
          <w:sz w:val="24"/>
          <w:szCs w:val="24"/>
        </w:rPr>
        <w:t>4.2 Saran</w:t>
      </w:r>
    </w:p>
    <w:p w:rsidR="007335FD" w:rsidRDefault="007335FD">
      <w:pPr>
        <w:autoSpaceDE w:val="0"/>
        <w:autoSpaceDN w:val="0"/>
        <w:adjustRightInd w:val="0"/>
        <w:spacing w:after="0" w:line="240" w:lineRule="auto"/>
        <w:ind w:firstLine="540"/>
        <w:rPr>
          <w:rFonts w:ascii="Berlin Sans FB" w:hAnsi="Berlin Sans FB" w:cs="Arial"/>
          <w:sz w:val="24"/>
          <w:szCs w:val="24"/>
        </w:rPr>
      </w:pPr>
    </w:p>
    <w:p w:rsidR="007335FD" w:rsidRDefault="00815898">
      <w:pPr>
        <w:autoSpaceDE w:val="0"/>
        <w:autoSpaceDN w:val="0"/>
        <w:adjustRightInd w:val="0"/>
        <w:spacing w:after="0" w:line="360" w:lineRule="auto"/>
        <w:ind w:firstLine="709"/>
        <w:jc w:val="both"/>
        <w:rPr>
          <w:rFonts w:cs="Arial"/>
          <w:sz w:val="24"/>
          <w:szCs w:val="24"/>
        </w:rPr>
      </w:pPr>
      <w:r>
        <w:rPr>
          <w:rFonts w:cs="Arial"/>
          <w:sz w:val="24"/>
          <w:szCs w:val="24"/>
        </w:rPr>
        <w:t xml:space="preserve">Guna mempertahankan dan atau meningkatkan capaian kinerja Badan Kesbangpol Provinsi Sumatera Barat, ada beberapa hal yang perlu dilakukan secara umum, antara </w:t>
      </w:r>
      <w:proofErr w:type="gramStart"/>
      <w:r>
        <w:rPr>
          <w:rFonts w:cs="Arial"/>
          <w:sz w:val="24"/>
          <w:szCs w:val="24"/>
        </w:rPr>
        <w:t>lain :</w:t>
      </w:r>
      <w:proofErr w:type="gramEnd"/>
    </w:p>
    <w:p w:rsidR="007335FD" w:rsidRDefault="00815898">
      <w:pPr>
        <w:pStyle w:val="ListParagraph"/>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Meningkatkan koordinasi dan melakukan penataan birokrasi, sehingga terwujud penyelenggaraan pemerintahan daerah yang bersih, efektif, efisien dan akuntabel.</w:t>
      </w:r>
    </w:p>
    <w:p w:rsidR="007335FD" w:rsidRDefault="00815898">
      <w:pPr>
        <w:pStyle w:val="ListParagraph"/>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Memberdayakan segala potensi yang ada di Badan Kesatuan Bangsa dan Politik Provinsi Sumatera Barat</w:t>
      </w:r>
    </w:p>
    <w:p w:rsidR="007335FD" w:rsidRDefault="00815898">
      <w:pPr>
        <w:pStyle w:val="ListParagraph"/>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Melakukan rapat koordinasi dalam semua urusan pemerintahan daerah secara berkala;</w:t>
      </w:r>
    </w:p>
    <w:p w:rsidR="007335FD" w:rsidRDefault="00815898">
      <w:pPr>
        <w:pStyle w:val="ListParagraph"/>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Melakukan monitoring dan evaluasi pelaksanaan dan pencapaian kinerja kepada semua bidang secara berkala;</w:t>
      </w:r>
    </w:p>
    <w:p w:rsidR="007335FD" w:rsidRDefault="007335FD">
      <w:pPr>
        <w:autoSpaceDE w:val="0"/>
        <w:autoSpaceDN w:val="0"/>
        <w:adjustRightInd w:val="0"/>
        <w:spacing w:after="0" w:line="360" w:lineRule="auto"/>
        <w:jc w:val="both"/>
        <w:rPr>
          <w:rFonts w:cs="Arial"/>
          <w:sz w:val="24"/>
          <w:szCs w:val="24"/>
        </w:rPr>
      </w:pPr>
    </w:p>
    <w:p w:rsidR="007335FD" w:rsidRDefault="00815898">
      <w:pPr>
        <w:autoSpaceDE w:val="0"/>
        <w:autoSpaceDN w:val="0"/>
        <w:adjustRightInd w:val="0"/>
        <w:spacing w:after="0" w:line="360" w:lineRule="auto"/>
        <w:ind w:firstLine="426"/>
        <w:jc w:val="both"/>
        <w:rPr>
          <w:rFonts w:cs="Arial"/>
          <w:sz w:val="24"/>
          <w:szCs w:val="24"/>
        </w:rPr>
      </w:pPr>
      <w:r>
        <w:rPr>
          <w:rFonts w:cs="Arial"/>
          <w:sz w:val="24"/>
          <w:szCs w:val="24"/>
        </w:rPr>
        <w:t xml:space="preserve">Sedangkan upaya yang dilakukan agar kinerja Badan Kesatuan Bangsa Dan Politik Provinsi Sumatera Barat lebih baik dan akuntabel antara </w:t>
      </w:r>
      <w:proofErr w:type="gramStart"/>
      <w:r>
        <w:rPr>
          <w:rFonts w:cs="Arial"/>
          <w:sz w:val="24"/>
          <w:szCs w:val="24"/>
        </w:rPr>
        <w:t>lain :</w:t>
      </w:r>
      <w:proofErr w:type="gramEnd"/>
    </w:p>
    <w:p w:rsidR="007335FD" w:rsidRDefault="00815898">
      <w:pPr>
        <w:pStyle w:val="ListParagraph"/>
        <w:numPr>
          <w:ilvl w:val="0"/>
          <w:numId w:val="61"/>
        </w:numPr>
        <w:autoSpaceDE w:val="0"/>
        <w:autoSpaceDN w:val="0"/>
        <w:adjustRightInd w:val="0"/>
        <w:spacing w:after="0" w:line="360" w:lineRule="auto"/>
        <w:ind w:left="426"/>
        <w:jc w:val="both"/>
        <w:rPr>
          <w:rFonts w:cs="Arial"/>
          <w:sz w:val="24"/>
          <w:szCs w:val="24"/>
        </w:rPr>
      </w:pPr>
      <w:r>
        <w:rPr>
          <w:rFonts w:cs="Arial"/>
          <w:sz w:val="24"/>
          <w:szCs w:val="24"/>
        </w:rPr>
        <w:t>Meningkatkan kualitas perencanaan agar dokumen perencanaan yang disusun dapat digunakan dan dapat mengurangi kesalahan / keraguan dalam pelaksanaan kegiatan, sehingga sesuai dengan tujuan yang telah ditetapkan.</w:t>
      </w:r>
    </w:p>
    <w:p w:rsidR="007335FD" w:rsidRDefault="00815898">
      <w:pPr>
        <w:pStyle w:val="ListParagraph"/>
        <w:numPr>
          <w:ilvl w:val="0"/>
          <w:numId w:val="61"/>
        </w:numPr>
        <w:autoSpaceDE w:val="0"/>
        <w:autoSpaceDN w:val="0"/>
        <w:adjustRightInd w:val="0"/>
        <w:spacing w:after="0" w:line="360" w:lineRule="auto"/>
        <w:ind w:left="426"/>
        <w:jc w:val="both"/>
        <w:rPr>
          <w:rFonts w:cs="Arial"/>
          <w:sz w:val="24"/>
          <w:szCs w:val="24"/>
        </w:rPr>
      </w:pPr>
      <w:r>
        <w:rPr>
          <w:rFonts w:cs="Arial"/>
          <w:sz w:val="24"/>
          <w:szCs w:val="24"/>
        </w:rPr>
        <w:t>Menggunakan upaya pemecahan masalah dalam dokumen ini sebagai strategi peningkatan capaian kinerja pada pelaksanaan program / kegiatan tahun selanjutnya.</w:t>
      </w:r>
    </w:p>
    <w:p w:rsidR="007335FD" w:rsidRDefault="00815898">
      <w:pPr>
        <w:pStyle w:val="ListParagraph"/>
        <w:numPr>
          <w:ilvl w:val="0"/>
          <w:numId w:val="61"/>
        </w:numPr>
        <w:autoSpaceDE w:val="0"/>
        <w:autoSpaceDN w:val="0"/>
        <w:adjustRightInd w:val="0"/>
        <w:spacing w:after="0" w:line="360" w:lineRule="auto"/>
        <w:ind w:left="426"/>
        <w:jc w:val="both"/>
        <w:rPr>
          <w:rFonts w:cs="Arial"/>
          <w:sz w:val="24"/>
          <w:szCs w:val="24"/>
        </w:rPr>
      </w:pPr>
      <w:r>
        <w:rPr>
          <w:rFonts w:cs="Arial"/>
          <w:sz w:val="24"/>
          <w:szCs w:val="24"/>
        </w:rPr>
        <w:t>Memanfaatkan hasil evaluasi kinerja sebagai bahan perbaikan pelaksanaan program/kegiatan.</w:t>
      </w:r>
    </w:p>
    <w:p w:rsidR="007335FD" w:rsidRDefault="00815898">
      <w:pPr>
        <w:pStyle w:val="ListParagraph"/>
        <w:numPr>
          <w:ilvl w:val="0"/>
          <w:numId w:val="61"/>
        </w:numPr>
        <w:autoSpaceDE w:val="0"/>
        <w:autoSpaceDN w:val="0"/>
        <w:adjustRightInd w:val="0"/>
        <w:spacing w:after="0" w:line="360" w:lineRule="auto"/>
        <w:ind w:left="426"/>
        <w:jc w:val="both"/>
        <w:rPr>
          <w:rFonts w:cs="Aparajita"/>
          <w:sz w:val="24"/>
          <w:szCs w:val="24"/>
        </w:rPr>
      </w:pPr>
      <w:r>
        <w:rPr>
          <w:rFonts w:cs="Arial"/>
          <w:sz w:val="24"/>
          <w:szCs w:val="24"/>
        </w:rPr>
        <w:t>Memberdayakan sumber daya yang ada pada Badan Kesatuan bangsa dan Politik Provinsi Sumatera Barat secara menyeluruh, efektif, dan efesien.</w:t>
      </w:r>
    </w:p>
    <w:p w:rsidR="007335FD" w:rsidRDefault="00815898">
      <w:pPr>
        <w:pStyle w:val="ListParagraph"/>
        <w:numPr>
          <w:ilvl w:val="0"/>
          <w:numId w:val="61"/>
        </w:numPr>
        <w:autoSpaceDE w:val="0"/>
        <w:autoSpaceDN w:val="0"/>
        <w:adjustRightInd w:val="0"/>
        <w:spacing w:after="0" w:line="360" w:lineRule="auto"/>
        <w:ind w:left="426"/>
        <w:jc w:val="both"/>
        <w:rPr>
          <w:rFonts w:cs="Aparajita"/>
          <w:sz w:val="24"/>
          <w:szCs w:val="24"/>
        </w:rPr>
      </w:pPr>
      <w:r>
        <w:rPr>
          <w:rFonts w:cs="Arial"/>
          <w:sz w:val="24"/>
          <w:szCs w:val="24"/>
        </w:rPr>
        <w:t>Menguatkan komitmen dari semua bidang untuk meningkatkan kinerjanya</w:t>
      </w:r>
    </w:p>
    <w:p w:rsidR="007335FD" w:rsidRDefault="007335FD">
      <w:pPr>
        <w:pStyle w:val="ListParagraph"/>
        <w:autoSpaceDE w:val="0"/>
        <w:autoSpaceDN w:val="0"/>
        <w:adjustRightInd w:val="0"/>
        <w:spacing w:after="0" w:line="360" w:lineRule="auto"/>
        <w:ind w:left="426" w:hanging="360"/>
        <w:jc w:val="both"/>
        <w:rPr>
          <w:rFonts w:cs="Aparajita"/>
          <w:sz w:val="24"/>
          <w:szCs w:val="24"/>
        </w:rPr>
      </w:pPr>
    </w:p>
    <w:p w:rsidR="007335FD" w:rsidRDefault="007335FD">
      <w:pPr>
        <w:autoSpaceDE w:val="0"/>
        <w:autoSpaceDN w:val="0"/>
        <w:adjustRightInd w:val="0"/>
        <w:spacing w:after="0" w:line="360" w:lineRule="auto"/>
        <w:ind w:firstLine="540"/>
        <w:jc w:val="both"/>
        <w:rPr>
          <w:rFonts w:cs="Aparajita"/>
          <w:sz w:val="24"/>
          <w:szCs w:val="24"/>
        </w:rPr>
      </w:pPr>
    </w:p>
    <w:sectPr w:rsidR="007335FD">
      <w:pgSz w:w="11909" w:h="16834"/>
      <w:pgMar w:top="1440" w:right="1134" w:bottom="1531" w:left="1440" w:header="706"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C5" w:rsidRDefault="00851EC5">
      <w:pPr>
        <w:spacing w:after="0" w:line="240" w:lineRule="auto"/>
      </w:pPr>
      <w:r>
        <w:separator/>
      </w:r>
    </w:p>
  </w:endnote>
  <w:endnote w:type="continuationSeparator" w:id="0">
    <w:p w:rsidR="00851EC5" w:rsidRDefault="0085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Yu Gothic UI"/>
    <w:panose1 w:val="020B0502020202020204"/>
    <w:charset w:val="00"/>
    <w:family w:val="swiss"/>
    <w:pitch w:val="variable"/>
    <w:sig w:usb0="00000287" w:usb1="00000000" w:usb2="00000000" w:usb3="00000000" w:csb0="0000009F" w:csb1="00000000"/>
  </w:font>
  <w:font w:name="Bookman Old Style">
    <w:altName w:val="Segoe Print"/>
    <w:panose1 w:val="02050604050505020204"/>
    <w:charset w:val="00"/>
    <w:family w:val="roman"/>
    <w:pitch w:val="variable"/>
    <w:sig w:usb0="00000287" w:usb1="00000000" w:usb2="00000000" w:usb3="00000000" w:csb0="0000009F" w:csb1="00000000"/>
  </w:font>
  <w:font w:name="Bernard MT Condensed">
    <w:altName w:val="Segoe Print"/>
    <w:panose1 w:val="02050806060905020404"/>
    <w:charset w:val="00"/>
    <w:family w:val="roman"/>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tencil">
    <w:altName w:val="Gabriola"/>
    <w:panose1 w:val="040409050D0802020404"/>
    <w:charset w:val="00"/>
    <w:family w:val="decorative"/>
    <w:pitch w:val="variable"/>
    <w:sig w:usb0="00000003" w:usb1="00000000" w:usb2="00000000" w:usb3="00000000" w:csb0="00000001" w:csb1="00000000"/>
  </w:font>
  <w:font w:name="Aparajita">
    <w:altName w:val="Segoe Print"/>
    <w:charset w:val="00"/>
    <w:family w:val="swiss"/>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Semilight">
    <w:panose1 w:val="020B0502040204020203"/>
    <w:charset w:val="81"/>
    <w:family w:val="swiss"/>
    <w:pitch w:val="variable"/>
    <w:sig w:usb0="B0000AAF" w:usb1="09DF7CFB" w:usb2="00000012" w:usb3="00000000" w:csb0="003E01BD" w:csb1="00000000"/>
  </w:font>
  <w:font w:name="Arial Narrow">
    <w:altName w:val="Arial"/>
    <w:panose1 w:val="020B0606020202030204"/>
    <w:charset w:val="00"/>
    <w:family w:val="swiss"/>
    <w:pitch w:val="variable"/>
    <w:sig w:usb0="00000287" w:usb1="00000800" w:usb2="00000000" w:usb3="00000000" w:csb0="0000009F" w:csb1="00000000"/>
  </w:font>
  <w:font w:name="Monotype Corsiva">
    <w:altName w:val="Mongolian Baiti"/>
    <w:panose1 w:val="03010101010201010101"/>
    <w:charset w:val="00"/>
    <w:family w:val="script"/>
    <w:pitch w:val="variable"/>
    <w:sig w:usb0="00000287" w:usb1="00000000" w:usb2="00000000" w:usb3="00000000" w:csb0="0000009F" w:csb1="00000000"/>
  </w:font>
  <w:font w:name="Agency FB">
    <w:altName w:val="Yu Gothic UI"/>
    <w:panose1 w:val="020B0503020202020204"/>
    <w:charset w:val="00"/>
    <w:family w:val="swiss"/>
    <w:pitch w:val="variable"/>
    <w:sig w:usb0="00000003" w:usb1="00000000" w:usb2="00000000" w:usb3="00000000" w:csb0="00000001" w:csb1="00000000"/>
  </w:font>
  <w:font w:name="Andalus">
    <w:altName w:val="Times New Roman"/>
    <w:charset w:val="00"/>
    <w:family w:val="roman"/>
    <w:pitch w:val="default"/>
    <w:sig w:usb0="00000000" w:usb1="0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Book Antiqua">
    <w:altName w:val="Segoe Print"/>
    <w:panose1 w:val="02040602050305030304"/>
    <w:charset w:val="00"/>
    <w:family w:val="roman"/>
    <w:pitch w:val="variable"/>
    <w:sig w:usb0="00000287" w:usb1="00000000" w:usb2="00000000" w:usb3="00000000" w:csb0="0000009F" w:csb1="00000000"/>
  </w:font>
  <w:font w:name="Berlin Sans FB">
    <w:altName w:val="Segoe Print"/>
    <w:panose1 w:val="020E0602020502020306"/>
    <w:charset w:val="00"/>
    <w:family w:val="swiss"/>
    <w:pitch w:val="variable"/>
    <w:sig w:usb0="00000003" w:usb1="00000000" w:usb2="00000000" w:usb3="00000000" w:csb0="00000001" w:csb1="00000000"/>
  </w:font>
  <w:font w:name="Berlin Sans FB Demi">
    <w:altName w:val="Segoe Print"/>
    <w:panose1 w:val="020E0802020502020306"/>
    <w:charset w:val="00"/>
    <w:family w:val="swiss"/>
    <w:pitch w:val="variable"/>
    <w:sig w:usb0="00000003" w:usb1="00000000" w:usb2="00000000" w:usb3="00000000" w:csb0="00000001" w:csb1="00000000"/>
  </w:font>
  <w:font w:name="Rockwell">
    <w:altName w:val="Segoe Print"/>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hnschrift SemiBold SemiConden">
    <w:altName w:val="Bahnschrift"/>
    <w:panose1 w:val="020B0502040204020203"/>
    <w:charset w:val="00"/>
    <w:family w:val="swiss"/>
    <w:pitch w:val="variable"/>
    <w:sig w:usb0="A00002C7" w:usb1="00000002" w:usb2="00000000" w:usb3="00000000" w:csb0="0000019F" w:csb1="00000000"/>
  </w:font>
  <w:font w:name="Cambria,Bold">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98" w:rsidRDefault="00851EC5">
    <w:pPr>
      <w:pStyle w:val="Footer"/>
    </w:pPr>
    <w:r>
      <w:pict>
        <v:group id="Group 19" o:spid="_x0000_s2053" style="position:absolute;margin-left:61.55pt;margin-top:-4.15pt;width:477.75pt;height:27.3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">
          <v:rect id="Rectangle 20" o:spid="_x0000_s2054" style="position:absolute;left:374;top:14903;width:9346;height:432" fillcolor="#c00000" stroked="f">
            <v:textbox>
              <w:txbxContent>
                <w:p w:rsidR="00815898" w:rsidRDefault="00815898">
                  <w:pPr>
                    <w:pStyle w:val="Header"/>
                    <w:jc w:val="both"/>
                    <w:rPr>
                      <w:rFonts w:ascii="Segoe UI Black" w:hAnsi="Segoe UI Black" w:cs="Segoe UI Black"/>
                      <w:i/>
                      <w:color w:val="FFFFFF" w:themeColor="background1"/>
                      <w:sz w:val="28"/>
                      <w:szCs w:val="28"/>
                    </w:rPr>
                  </w:pPr>
                  <w:r>
                    <w:rPr>
                      <w:rFonts w:ascii="Segoe UI Black" w:hAnsi="Segoe UI Black" w:cs="Segoe UI Black"/>
                      <w:i/>
                      <w:color w:val="FFFFFF" w:themeColor="background1"/>
                      <w:sz w:val="20"/>
                      <w:szCs w:val="20"/>
                    </w:rPr>
                    <w:t xml:space="preserve">Badan Kesatuan Bangsa dan Politik Provinsi </w:t>
                  </w:r>
                  <w:proofErr w:type="gramStart"/>
                  <w:r>
                    <w:rPr>
                      <w:rFonts w:ascii="Segoe UI Black" w:hAnsi="Segoe UI Black" w:cs="Segoe UI Black"/>
                      <w:i/>
                      <w:color w:val="FFFFFF" w:themeColor="background1"/>
                      <w:sz w:val="20"/>
                      <w:szCs w:val="20"/>
                    </w:rPr>
                    <w:t>Sumatera  Barat</w:t>
                  </w:r>
                  <w:proofErr w:type="gramEnd"/>
                </w:p>
                <w:p w:rsidR="00815898" w:rsidRDefault="00815898">
                  <w:pPr>
                    <w:pStyle w:val="Footer"/>
                    <w:rPr>
                      <w:rFonts w:ascii="Segoe UI Black" w:hAnsi="Segoe UI Black" w:cs="Segoe UI Black"/>
                      <w:color w:val="FFFFFF" w:themeColor="background1"/>
                      <w:spacing w:val="60"/>
                    </w:rPr>
                  </w:pPr>
                </w:p>
                <w:p w:rsidR="00815898" w:rsidRDefault="00815898">
                  <w:pPr>
                    <w:pStyle w:val="Header"/>
                    <w:rPr>
                      <w:color w:val="FFFFFF" w:themeColor="background1"/>
                    </w:rPr>
                  </w:pPr>
                </w:p>
              </w:txbxContent>
            </v:textbox>
          </v:rect>
          <v:rect id="Rectangle 21" o:spid="_x0000_s2055" style="position:absolute;left:9763;top:14903;width:2102;height:432" fillcolor="#c00000" stroked="f">
            <v:textbox>
              <w:txbxContent>
                <w:p w:rsidR="00815898" w:rsidRDefault="00815898">
                  <w:pPr>
                    <w:pStyle w:val="Footer"/>
                    <w:rPr>
                      <w:rFonts w:ascii="Segoe UI Black" w:hAnsi="Segoe UI Black" w:cs="Segoe UI Black"/>
                      <w:color w:val="FFFFFF" w:themeColor="background1"/>
                    </w:rPr>
                  </w:pPr>
                  <w:r>
                    <w:rPr>
                      <w:rFonts w:ascii="Segoe UI Black" w:hAnsi="Segoe UI Black" w:cs="Segoe UI Black"/>
                      <w:color w:val="FFFFFF" w:themeColor="background1"/>
                    </w:rPr>
                    <w:t xml:space="preserve">Page </w:t>
                  </w:r>
                  <w:r>
                    <w:rPr>
                      <w:rFonts w:ascii="Segoe UI Black" w:hAnsi="Segoe UI Black" w:cs="Segoe UI Black"/>
                    </w:rPr>
                    <w:fldChar w:fldCharType="begin"/>
                  </w:r>
                  <w:r>
                    <w:rPr>
                      <w:rFonts w:ascii="Segoe UI Black" w:hAnsi="Segoe UI Black" w:cs="Segoe UI Black"/>
                    </w:rPr>
                    <w:instrText xml:space="preserve"> PAGE   \* MERGEFORMAT </w:instrText>
                  </w:r>
                  <w:r>
                    <w:rPr>
                      <w:rFonts w:ascii="Segoe UI Black" w:hAnsi="Segoe UI Black" w:cs="Segoe UI Black"/>
                    </w:rPr>
                    <w:fldChar w:fldCharType="separate"/>
                  </w:r>
                  <w:r w:rsidR="00A71BFC" w:rsidRPr="00A71BFC">
                    <w:rPr>
                      <w:rFonts w:ascii="Segoe UI Black" w:hAnsi="Segoe UI Black" w:cs="Segoe UI Black"/>
                      <w:noProof/>
                      <w:color w:val="FFFFFF" w:themeColor="background1"/>
                    </w:rPr>
                    <w:t>5</w:t>
                  </w:r>
                  <w:r>
                    <w:rPr>
                      <w:rFonts w:ascii="Segoe UI Black" w:hAnsi="Segoe UI Black" w:cs="Segoe UI Black"/>
                    </w:rPr>
                    <w:fldChar w:fldCharType="end"/>
                  </w:r>
                </w:p>
              </w:txbxContent>
            </v:textbox>
          </v:rect>
          <v:rect id="Rectangle 22" o:spid="_x0000_s2056" style="position:absolute;left:321;top:14850;width:11601;height: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w10:wrap type="topAndBottom"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98" w:rsidRDefault="00815898">
    <w:pPr>
      <w:pStyle w:val="Footer"/>
      <w:framePr w:wrap="around" w:vAnchor="text" w:hAnchor="margin" w:xAlign="right" w:y="1"/>
      <w:tabs>
        <w:tab w:val="clear" w:pos="4680"/>
        <w:tab w:val="clear" w:pos="9360"/>
        <w:tab w:val="center" w:pos="4320"/>
        <w:tab w:val="right" w:pos="8640"/>
      </w:tabs>
      <w:rPr>
        <w:rStyle w:val="PageNumber"/>
      </w:rPr>
    </w:pPr>
    <w:r>
      <w:fldChar w:fldCharType="begin"/>
    </w:r>
    <w:r>
      <w:rPr>
        <w:rStyle w:val="PageNumber"/>
      </w:rPr>
      <w:instrText xml:space="preserve">PAGE  </w:instrText>
    </w:r>
    <w:r>
      <w:fldChar w:fldCharType="end"/>
    </w:r>
  </w:p>
  <w:p w:rsidR="00815898" w:rsidRDefault="00815898">
    <w:pPr>
      <w:pStyle w:val="Footer"/>
      <w:tabs>
        <w:tab w:val="clear" w:pos="4680"/>
        <w:tab w:val="clear" w:pos="9360"/>
        <w:tab w:val="center" w:pos="4320"/>
        <w:tab w:val="right" w:pos="86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98" w:rsidRDefault="00851EC5">
    <w:pPr>
      <w:pStyle w:val="Footer"/>
      <w:tabs>
        <w:tab w:val="clear" w:pos="4680"/>
        <w:tab w:val="clear" w:pos="9360"/>
        <w:tab w:val="center" w:pos="4320"/>
        <w:tab w:val="right" w:pos="8640"/>
      </w:tabs>
      <w:rPr>
        <w:szCs w:val="18"/>
      </w:rPr>
    </w:pPr>
    <w:r>
      <w:pict>
        <v:group id="_x0000_s2062" style="position:absolute;margin-left:76.6pt;margin-top:-23.75pt;width:477.75pt;height:27.35pt;z-index:25173504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">
          <v:rect id="Rectangle 20" o:spid="_x0000_s2063" style="position:absolute;left:374;top:14903;width:9346;height:432" fillcolor="#c00000" stroked="f">
            <v:textbox>
              <w:txbxContent>
                <w:p w:rsidR="00815898" w:rsidRDefault="00815898">
                  <w:pPr>
                    <w:pStyle w:val="Header"/>
                    <w:jc w:val="both"/>
                    <w:rPr>
                      <w:rFonts w:ascii="Segoe UI Black" w:hAnsi="Segoe UI Black" w:cs="Segoe UI Black"/>
                      <w:i/>
                      <w:color w:val="FFFFFF" w:themeColor="background1"/>
                      <w:sz w:val="28"/>
                      <w:szCs w:val="28"/>
                    </w:rPr>
                  </w:pPr>
                  <w:r>
                    <w:rPr>
                      <w:rFonts w:ascii="Segoe UI Black" w:hAnsi="Segoe UI Black" w:cs="Segoe UI Black"/>
                      <w:i/>
                      <w:color w:val="FFFFFF" w:themeColor="background1"/>
                      <w:sz w:val="20"/>
                      <w:szCs w:val="20"/>
                    </w:rPr>
                    <w:t xml:space="preserve">Badan Kesatuan Bangsa dan Politik Provinsi </w:t>
                  </w:r>
                  <w:proofErr w:type="gramStart"/>
                  <w:r>
                    <w:rPr>
                      <w:rFonts w:ascii="Segoe UI Black" w:hAnsi="Segoe UI Black" w:cs="Segoe UI Black"/>
                      <w:i/>
                      <w:color w:val="FFFFFF" w:themeColor="background1"/>
                      <w:sz w:val="20"/>
                      <w:szCs w:val="20"/>
                    </w:rPr>
                    <w:t>Sumatera  Barat</w:t>
                  </w:r>
                  <w:proofErr w:type="gramEnd"/>
                </w:p>
                <w:p w:rsidR="00815898" w:rsidRDefault="00815898">
                  <w:pPr>
                    <w:pStyle w:val="Footer"/>
                    <w:rPr>
                      <w:rFonts w:ascii="Segoe UI Black" w:hAnsi="Segoe UI Black" w:cs="Segoe UI Black"/>
                      <w:color w:val="FFFFFF" w:themeColor="background1"/>
                      <w:spacing w:val="60"/>
                    </w:rPr>
                  </w:pPr>
                </w:p>
                <w:p w:rsidR="00815898" w:rsidRDefault="00815898">
                  <w:pPr>
                    <w:pStyle w:val="Header"/>
                    <w:rPr>
                      <w:color w:val="FFFFFF" w:themeColor="background1"/>
                    </w:rPr>
                  </w:pPr>
                </w:p>
              </w:txbxContent>
            </v:textbox>
          </v:rect>
          <v:rect id="Rectangle 21" o:spid="_x0000_s2064" style="position:absolute;left:9763;top:14903;width:2102;height:432" fillcolor="#c00000" stroked="f">
            <v:textbox>
              <w:txbxContent>
                <w:p w:rsidR="00815898" w:rsidRDefault="00815898">
                  <w:pPr>
                    <w:pStyle w:val="Footer"/>
                    <w:rPr>
                      <w:rFonts w:ascii="Segoe UI Black" w:hAnsi="Segoe UI Black" w:cs="Segoe UI Black"/>
                      <w:color w:val="FFFFFF" w:themeColor="background1"/>
                    </w:rPr>
                  </w:pPr>
                  <w:r>
                    <w:rPr>
                      <w:rFonts w:ascii="Segoe UI Black" w:hAnsi="Segoe UI Black" w:cs="Segoe UI Black"/>
                      <w:color w:val="FFFFFF" w:themeColor="background1"/>
                    </w:rPr>
                    <w:t xml:space="preserve">Page </w:t>
                  </w:r>
                  <w:r>
                    <w:rPr>
                      <w:rFonts w:ascii="Segoe UI Black" w:hAnsi="Segoe UI Black" w:cs="Segoe UI Black"/>
                    </w:rPr>
                    <w:fldChar w:fldCharType="begin"/>
                  </w:r>
                  <w:r>
                    <w:rPr>
                      <w:rFonts w:ascii="Segoe UI Black" w:hAnsi="Segoe UI Black" w:cs="Segoe UI Black"/>
                    </w:rPr>
                    <w:instrText xml:space="preserve"> PAGE   \* MERGEFORMAT </w:instrText>
                  </w:r>
                  <w:r>
                    <w:rPr>
                      <w:rFonts w:ascii="Segoe UI Black" w:hAnsi="Segoe UI Black" w:cs="Segoe UI Black"/>
                    </w:rPr>
                    <w:fldChar w:fldCharType="separate"/>
                  </w:r>
                  <w:r w:rsidR="00A71BFC" w:rsidRPr="00A71BFC">
                    <w:rPr>
                      <w:rFonts w:ascii="Segoe UI Black" w:hAnsi="Segoe UI Black" w:cs="Segoe UI Black"/>
                      <w:noProof/>
                      <w:color w:val="FFFFFF" w:themeColor="background1"/>
                    </w:rPr>
                    <w:t>75</w:t>
                  </w:r>
                  <w:r>
                    <w:rPr>
                      <w:rFonts w:ascii="Segoe UI Black" w:hAnsi="Segoe UI Black" w:cs="Segoe UI Black"/>
                    </w:rPr>
                    <w:fldChar w:fldCharType="end"/>
                  </w:r>
                </w:p>
              </w:txbxContent>
            </v:textbox>
          </v:rect>
          <v:rect id="Rectangle 22" o:spid="_x0000_s2065" style="position:absolute;left:321;top:14850;width:11601;height: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w10:wrap type="topAndBottom" anchorx="pag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98" w:rsidRDefault="00815898">
    <w:pPr>
      <w:pStyle w:val="Footer"/>
      <w:tabs>
        <w:tab w:val="clear" w:pos="4680"/>
        <w:tab w:val="clear" w:pos="9360"/>
        <w:tab w:val="center" w:pos="4320"/>
        <w:tab w:val="right" w:pos="8640"/>
      </w:tabs>
      <w:ind w:right="360"/>
      <w:rPr>
        <w:sz w:val="18"/>
        <w:szCs w:val="18"/>
      </w:rPr>
    </w:pPr>
  </w:p>
  <w:p w:rsidR="00815898" w:rsidRDefault="00815898">
    <w:pPr>
      <w:pStyle w:val="Footer"/>
      <w:tabs>
        <w:tab w:val="clear" w:pos="4680"/>
        <w:tab w:val="clear" w:pos="9360"/>
        <w:tab w:val="center" w:pos="4320"/>
        <w:tab w:val="right" w:pos="8640"/>
      </w:tabs>
      <w:ind w:right="360"/>
      <w:rPr>
        <w:sz w:val="18"/>
        <w:szCs w:val="18"/>
      </w:rPr>
    </w:pPr>
  </w:p>
  <w:p w:rsidR="00815898" w:rsidRDefault="00851EC5">
    <w:pPr>
      <w:pStyle w:val="Footer"/>
      <w:tabs>
        <w:tab w:val="clear" w:pos="4680"/>
        <w:tab w:val="clear" w:pos="9360"/>
        <w:tab w:val="center" w:pos="4320"/>
        <w:tab w:val="right" w:pos="8640"/>
      </w:tabs>
      <w:spacing w:line="360" w:lineRule="auto"/>
      <w:ind w:right="360"/>
      <w:rPr>
        <w:rFonts w:ascii="Monotype Corsiva" w:hAnsi="Monotype Corsiva"/>
        <w:sz w:val="18"/>
        <w:szCs w:val="18"/>
      </w:rPr>
    </w:pPr>
    <w:r>
      <w:rPr>
        <w:rFonts w:ascii="Monotype Corsiva" w:hAnsi="Monotype Corsiva"/>
        <w:sz w:val="18"/>
        <w:szCs w:val="18"/>
      </w:rPr>
      <w:pict>
        <v:line id="_x0000_s2057" style="position:absolute;z-index:251731968;mso-width-relative:page;mso-height-relative:page" from="0,1.25pt" to="333pt,1.25pt"/>
      </w:pict>
    </w:r>
    <w:r w:rsidR="00815898">
      <w:rPr>
        <w:rFonts w:ascii="Monotype Corsiva" w:hAnsi="Monotype Corsiva"/>
        <w:sz w:val="18"/>
        <w:szCs w:val="18"/>
      </w:rPr>
      <w:t>Rencana Strategis Badan Kepegawaian Daerah Prov. Sumbar Tahun 2006-2010</w:t>
    </w:r>
  </w:p>
  <w:p w:rsidR="00815898" w:rsidRDefault="00815898">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C5" w:rsidRDefault="00851EC5">
      <w:pPr>
        <w:spacing w:after="0" w:line="240" w:lineRule="auto"/>
      </w:pPr>
      <w:r>
        <w:separator/>
      </w:r>
    </w:p>
  </w:footnote>
  <w:footnote w:type="continuationSeparator" w:id="0">
    <w:p w:rsidR="00851EC5" w:rsidRDefault="0085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98" w:rsidRDefault="00851EC5">
    <w:pPr>
      <w:pStyle w:val="Header"/>
    </w:pPr>
    <w:r>
      <w:rPr>
        <w:color w:val="76923C" w:themeColor="accent3" w:themeShade="BF"/>
      </w:rPr>
      <w:pict>
        <v:group id="_x0000_s2049" style="position:absolute;margin-left:59.65pt;margin-top:23.25pt;width:483.95pt;height:25.45pt;z-index:251658240;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" o:allowincell="f">
          <v:rect id="_x0000_s2050" style="position:absolute;left:377;top:360;width:9346;height:720;v-text-anchor:middle" fillcolor="#c00000" stroked="f" strokeweight="1.5pt">
            <v:textbox>
              <w:txbxContent>
                <w:p w:rsidR="00815898" w:rsidRDefault="00815898">
                  <w:pPr>
                    <w:pStyle w:val="Header"/>
                    <w:jc w:val="both"/>
                    <w:rPr>
                      <w:rFonts w:ascii="Segoe UI Black" w:eastAsia="Malgun Gothic Semilight" w:hAnsi="Segoe UI Black" w:cs="Segoe UI Black"/>
                      <w:b/>
                      <w:bCs/>
                      <w:i/>
                      <w:color w:val="FFFFFF" w:themeColor="background1"/>
                      <w:sz w:val="20"/>
                      <w:szCs w:val="20"/>
                    </w:rPr>
                  </w:pPr>
                  <w:r>
                    <w:rPr>
                      <w:rFonts w:ascii="Segoe UI Black" w:eastAsia="Malgun Gothic Semilight" w:hAnsi="Segoe UI Black" w:cs="Segoe UI Black"/>
                      <w:b/>
                      <w:bCs/>
                      <w:i/>
                      <w:color w:val="FFFFFF" w:themeColor="background1"/>
                      <w:sz w:val="20"/>
                      <w:szCs w:val="20"/>
                    </w:rPr>
                    <w:t>Laporan Kinerja</w:t>
                  </w:r>
                </w:p>
              </w:txbxContent>
            </v:textbox>
          </v:rect>
          <v:rect id="_x0000_s2051" style="position:absolute;left:9763;top:360;width:2102;height:720;v-text-anchor:middle" fillcolor="#c00000" stroked="f" strokeweight="2pt">
            <v:textbox>
              <w:txbxContent>
                <w:p w:rsidR="00815898" w:rsidRDefault="00815898">
                  <w:pPr>
                    <w:pStyle w:val="Header"/>
                    <w:jc w:val="center"/>
                    <w:rPr>
                      <w:rFonts w:ascii="Segoe UI Black" w:eastAsia="Malgun Gothic Semilight" w:hAnsi="Segoe UI Black" w:cs="Segoe UI Black"/>
                      <w:b/>
                      <w:bCs/>
                      <w:i/>
                      <w:color w:val="FFFFFF" w:themeColor="background1"/>
                      <w:sz w:val="20"/>
                      <w:szCs w:val="20"/>
                    </w:rPr>
                  </w:pPr>
                  <w:r>
                    <w:rPr>
                      <w:rFonts w:ascii="Segoe UI Black" w:eastAsia="Malgun Gothic Semilight" w:hAnsi="Segoe UI Black" w:cs="Segoe UI Black"/>
                      <w:b/>
                      <w:bCs/>
                      <w:i/>
                      <w:color w:val="FFFFFF" w:themeColor="background1"/>
                      <w:sz w:val="20"/>
                      <w:szCs w:val="20"/>
                    </w:rPr>
                    <w:t>2018</w:t>
                  </w:r>
                </w:p>
              </w:txbxContent>
            </v:textbox>
          </v:rect>
          <v:rect id="_x0000_s2052" style="position:absolute;left:330;top:308;width:11586;height: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filled="f" strokeweight="1pt"/>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E7D3B"/>
    <w:multiLevelType w:val="singleLevel"/>
    <w:tmpl w:val="800E7D3B"/>
    <w:lvl w:ilvl="0">
      <w:start w:val="1"/>
      <w:numFmt w:val="lowerLetter"/>
      <w:lvlText w:val="%1."/>
      <w:lvlJc w:val="left"/>
      <w:pPr>
        <w:tabs>
          <w:tab w:val="left" w:pos="425"/>
        </w:tabs>
        <w:ind w:left="425" w:hanging="425"/>
      </w:pPr>
      <w:rPr>
        <w:rFonts w:hint="default"/>
      </w:rPr>
    </w:lvl>
  </w:abstractNum>
  <w:abstractNum w:abstractNumId="1">
    <w:nsid w:val="823ED50C"/>
    <w:multiLevelType w:val="singleLevel"/>
    <w:tmpl w:val="823ED50C"/>
    <w:lvl w:ilvl="0">
      <w:start w:val="1"/>
      <w:numFmt w:val="lowerLetter"/>
      <w:lvlText w:val="%1."/>
      <w:lvlJc w:val="left"/>
      <w:pPr>
        <w:tabs>
          <w:tab w:val="left" w:pos="425"/>
        </w:tabs>
        <w:ind w:left="425" w:hanging="425"/>
      </w:pPr>
      <w:rPr>
        <w:rFonts w:hint="default"/>
      </w:rPr>
    </w:lvl>
  </w:abstractNum>
  <w:abstractNum w:abstractNumId="2">
    <w:nsid w:val="8B70EC61"/>
    <w:multiLevelType w:val="singleLevel"/>
    <w:tmpl w:val="8B70EC61"/>
    <w:lvl w:ilvl="0">
      <w:start w:val="1"/>
      <w:numFmt w:val="lowerLetter"/>
      <w:lvlText w:val="%1."/>
      <w:lvlJc w:val="left"/>
      <w:pPr>
        <w:tabs>
          <w:tab w:val="left" w:pos="425"/>
        </w:tabs>
        <w:ind w:left="425" w:hanging="425"/>
      </w:pPr>
      <w:rPr>
        <w:rFonts w:hint="default"/>
      </w:rPr>
    </w:lvl>
  </w:abstractNum>
  <w:abstractNum w:abstractNumId="3">
    <w:nsid w:val="911BBB88"/>
    <w:multiLevelType w:val="singleLevel"/>
    <w:tmpl w:val="911BBB88"/>
    <w:lvl w:ilvl="0">
      <w:start w:val="1"/>
      <w:numFmt w:val="decimal"/>
      <w:lvlText w:val="%1."/>
      <w:lvlJc w:val="left"/>
      <w:pPr>
        <w:tabs>
          <w:tab w:val="left" w:pos="425"/>
        </w:tabs>
        <w:ind w:left="425" w:hanging="425"/>
      </w:pPr>
      <w:rPr>
        <w:rFonts w:hint="default"/>
      </w:rPr>
    </w:lvl>
  </w:abstractNum>
  <w:abstractNum w:abstractNumId="4">
    <w:nsid w:val="95617FB6"/>
    <w:multiLevelType w:val="singleLevel"/>
    <w:tmpl w:val="95617FB6"/>
    <w:lvl w:ilvl="0">
      <w:start w:val="1"/>
      <w:numFmt w:val="lowerLetter"/>
      <w:lvlText w:val="%1."/>
      <w:lvlJc w:val="left"/>
      <w:pPr>
        <w:tabs>
          <w:tab w:val="left" w:pos="425"/>
        </w:tabs>
        <w:ind w:left="425" w:hanging="425"/>
      </w:pPr>
      <w:rPr>
        <w:rFonts w:hint="default"/>
      </w:rPr>
    </w:lvl>
  </w:abstractNum>
  <w:abstractNum w:abstractNumId="5">
    <w:nsid w:val="9A30D5ED"/>
    <w:multiLevelType w:val="singleLevel"/>
    <w:tmpl w:val="9A30D5ED"/>
    <w:lvl w:ilvl="0">
      <w:start w:val="3"/>
      <w:numFmt w:val="decimal"/>
      <w:lvlText w:val="%1."/>
      <w:lvlJc w:val="left"/>
      <w:pPr>
        <w:tabs>
          <w:tab w:val="left" w:pos="425"/>
        </w:tabs>
        <w:ind w:left="425" w:hanging="425"/>
      </w:pPr>
      <w:rPr>
        <w:rFonts w:hint="default"/>
      </w:rPr>
    </w:lvl>
  </w:abstractNum>
  <w:abstractNum w:abstractNumId="6">
    <w:nsid w:val="A09CE9DC"/>
    <w:multiLevelType w:val="singleLevel"/>
    <w:tmpl w:val="A09CE9DC"/>
    <w:lvl w:ilvl="0">
      <w:start w:val="1"/>
      <w:numFmt w:val="lowerLetter"/>
      <w:lvlText w:val="%1."/>
      <w:lvlJc w:val="left"/>
      <w:pPr>
        <w:tabs>
          <w:tab w:val="left" w:pos="425"/>
        </w:tabs>
        <w:ind w:left="425" w:hanging="425"/>
      </w:pPr>
      <w:rPr>
        <w:rFonts w:hint="default"/>
      </w:rPr>
    </w:lvl>
  </w:abstractNum>
  <w:abstractNum w:abstractNumId="7">
    <w:nsid w:val="B324C9D1"/>
    <w:multiLevelType w:val="singleLevel"/>
    <w:tmpl w:val="B324C9D1"/>
    <w:lvl w:ilvl="0">
      <w:start w:val="1"/>
      <w:numFmt w:val="decimal"/>
      <w:lvlText w:val="%1."/>
      <w:lvlJc w:val="left"/>
      <w:pPr>
        <w:tabs>
          <w:tab w:val="left" w:pos="425"/>
        </w:tabs>
        <w:ind w:left="425" w:hanging="425"/>
      </w:pPr>
      <w:rPr>
        <w:rFonts w:hint="default"/>
      </w:rPr>
    </w:lvl>
  </w:abstractNum>
  <w:abstractNum w:abstractNumId="8">
    <w:nsid w:val="BCEBA0A9"/>
    <w:multiLevelType w:val="singleLevel"/>
    <w:tmpl w:val="BCEBA0A9"/>
    <w:lvl w:ilvl="0">
      <w:start w:val="1"/>
      <w:numFmt w:val="lowerLetter"/>
      <w:lvlText w:val="%1."/>
      <w:lvlJc w:val="left"/>
      <w:pPr>
        <w:tabs>
          <w:tab w:val="left" w:pos="425"/>
        </w:tabs>
        <w:ind w:left="425" w:hanging="425"/>
      </w:pPr>
      <w:rPr>
        <w:rFonts w:hint="default"/>
      </w:rPr>
    </w:lvl>
  </w:abstractNum>
  <w:abstractNum w:abstractNumId="9">
    <w:nsid w:val="D6D14CD9"/>
    <w:multiLevelType w:val="singleLevel"/>
    <w:tmpl w:val="D6D14CD9"/>
    <w:lvl w:ilvl="0">
      <w:start w:val="1"/>
      <w:numFmt w:val="lowerLetter"/>
      <w:lvlText w:val="%1."/>
      <w:lvlJc w:val="left"/>
      <w:pPr>
        <w:tabs>
          <w:tab w:val="left" w:pos="425"/>
        </w:tabs>
        <w:ind w:left="425" w:hanging="425"/>
      </w:pPr>
      <w:rPr>
        <w:rFonts w:hint="default"/>
      </w:rPr>
    </w:lvl>
  </w:abstractNum>
  <w:abstractNum w:abstractNumId="10">
    <w:nsid w:val="DCBFDA00"/>
    <w:multiLevelType w:val="singleLevel"/>
    <w:tmpl w:val="DCBFDA00"/>
    <w:lvl w:ilvl="0">
      <w:start w:val="1"/>
      <w:numFmt w:val="lowerLetter"/>
      <w:lvlText w:val="%1."/>
      <w:lvlJc w:val="left"/>
      <w:pPr>
        <w:tabs>
          <w:tab w:val="left" w:pos="425"/>
        </w:tabs>
        <w:ind w:left="425" w:hanging="425"/>
      </w:pPr>
      <w:rPr>
        <w:rFonts w:hint="default"/>
      </w:rPr>
    </w:lvl>
  </w:abstractNum>
  <w:abstractNum w:abstractNumId="11">
    <w:nsid w:val="DDB0BA6E"/>
    <w:multiLevelType w:val="singleLevel"/>
    <w:tmpl w:val="DDB0BA6E"/>
    <w:lvl w:ilvl="0">
      <w:start w:val="1"/>
      <w:numFmt w:val="lowerLetter"/>
      <w:lvlText w:val="%1."/>
      <w:lvlJc w:val="left"/>
      <w:pPr>
        <w:tabs>
          <w:tab w:val="left" w:pos="425"/>
        </w:tabs>
        <w:ind w:left="425" w:hanging="425"/>
      </w:pPr>
      <w:rPr>
        <w:rFonts w:hint="default"/>
      </w:rPr>
    </w:lvl>
  </w:abstractNum>
  <w:abstractNum w:abstractNumId="12">
    <w:nsid w:val="DE634818"/>
    <w:multiLevelType w:val="singleLevel"/>
    <w:tmpl w:val="DE634818"/>
    <w:lvl w:ilvl="0">
      <w:start w:val="1"/>
      <w:numFmt w:val="decimal"/>
      <w:suff w:val="space"/>
      <w:lvlText w:val="%1."/>
      <w:lvlJc w:val="left"/>
    </w:lvl>
  </w:abstractNum>
  <w:abstractNum w:abstractNumId="13">
    <w:nsid w:val="F1DC402F"/>
    <w:multiLevelType w:val="singleLevel"/>
    <w:tmpl w:val="F1DC402F"/>
    <w:lvl w:ilvl="0">
      <w:start w:val="1"/>
      <w:numFmt w:val="lowerLetter"/>
      <w:lvlText w:val="%1."/>
      <w:lvlJc w:val="left"/>
      <w:pPr>
        <w:tabs>
          <w:tab w:val="left" w:pos="425"/>
        </w:tabs>
        <w:ind w:left="425" w:hanging="425"/>
      </w:pPr>
      <w:rPr>
        <w:rFonts w:hint="default"/>
      </w:rPr>
    </w:lvl>
  </w:abstractNum>
  <w:abstractNum w:abstractNumId="14">
    <w:nsid w:val="F33F4313"/>
    <w:multiLevelType w:val="singleLevel"/>
    <w:tmpl w:val="F33F4313"/>
    <w:lvl w:ilvl="0">
      <w:start w:val="1"/>
      <w:numFmt w:val="decimal"/>
      <w:lvlText w:val="%1."/>
      <w:lvlJc w:val="left"/>
      <w:pPr>
        <w:tabs>
          <w:tab w:val="left" w:pos="425"/>
        </w:tabs>
        <w:ind w:left="425" w:hanging="425"/>
      </w:pPr>
      <w:rPr>
        <w:rFonts w:hint="default"/>
      </w:rPr>
    </w:lvl>
  </w:abstractNum>
  <w:abstractNum w:abstractNumId="15">
    <w:nsid w:val="F3D65B2B"/>
    <w:multiLevelType w:val="singleLevel"/>
    <w:tmpl w:val="F3D65B2B"/>
    <w:lvl w:ilvl="0">
      <w:start w:val="1"/>
      <w:numFmt w:val="decimal"/>
      <w:suff w:val="space"/>
      <w:lvlText w:val="%1."/>
      <w:lvlJc w:val="left"/>
    </w:lvl>
  </w:abstractNum>
  <w:abstractNum w:abstractNumId="16">
    <w:nsid w:val="FA3B555E"/>
    <w:multiLevelType w:val="singleLevel"/>
    <w:tmpl w:val="FA3B555E"/>
    <w:lvl w:ilvl="0">
      <w:start w:val="1"/>
      <w:numFmt w:val="decimal"/>
      <w:lvlText w:val="%1."/>
      <w:lvlJc w:val="left"/>
      <w:pPr>
        <w:tabs>
          <w:tab w:val="left" w:pos="425"/>
        </w:tabs>
        <w:ind w:left="425" w:hanging="425"/>
      </w:pPr>
      <w:rPr>
        <w:rFonts w:hint="default"/>
      </w:rPr>
    </w:lvl>
  </w:abstractNum>
  <w:abstractNum w:abstractNumId="17">
    <w:nsid w:val="FF9E17D7"/>
    <w:multiLevelType w:val="singleLevel"/>
    <w:tmpl w:val="FF9E17D7"/>
    <w:lvl w:ilvl="0">
      <w:start w:val="1"/>
      <w:numFmt w:val="lowerLetter"/>
      <w:lvlText w:val="%1."/>
      <w:lvlJc w:val="left"/>
      <w:pPr>
        <w:tabs>
          <w:tab w:val="left" w:pos="425"/>
        </w:tabs>
        <w:ind w:left="425" w:hanging="425"/>
      </w:pPr>
      <w:rPr>
        <w:rFonts w:hint="default"/>
      </w:rPr>
    </w:lvl>
  </w:abstractNum>
  <w:abstractNum w:abstractNumId="18">
    <w:nsid w:val="02E44A31"/>
    <w:multiLevelType w:val="singleLevel"/>
    <w:tmpl w:val="02E44A31"/>
    <w:lvl w:ilvl="0">
      <w:start w:val="1"/>
      <w:numFmt w:val="decimal"/>
      <w:lvlText w:val="%1."/>
      <w:lvlJc w:val="left"/>
      <w:pPr>
        <w:tabs>
          <w:tab w:val="left" w:pos="425"/>
        </w:tabs>
        <w:ind w:left="425" w:hanging="425"/>
      </w:pPr>
      <w:rPr>
        <w:rFonts w:hint="default"/>
      </w:rPr>
    </w:lvl>
  </w:abstractNum>
  <w:abstractNum w:abstractNumId="19">
    <w:nsid w:val="036B5DFE"/>
    <w:multiLevelType w:val="multilevel"/>
    <w:tmpl w:val="036B5D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0475F7FB"/>
    <w:multiLevelType w:val="singleLevel"/>
    <w:tmpl w:val="0475F7FB"/>
    <w:lvl w:ilvl="0">
      <w:start w:val="1"/>
      <w:numFmt w:val="decimal"/>
      <w:lvlText w:val="%1."/>
      <w:lvlJc w:val="left"/>
      <w:pPr>
        <w:tabs>
          <w:tab w:val="left" w:pos="425"/>
        </w:tabs>
        <w:ind w:left="425" w:hanging="425"/>
      </w:pPr>
      <w:rPr>
        <w:rFonts w:hint="default"/>
      </w:rPr>
    </w:lvl>
  </w:abstractNum>
  <w:abstractNum w:abstractNumId="21">
    <w:nsid w:val="086F3668"/>
    <w:multiLevelType w:val="multilevel"/>
    <w:tmpl w:val="086F3668"/>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0AF20C89"/>
    <w:multiLevelType w:val="multilevel"/>
    <w:tmpl w:val="0AF20C8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D942AF2"/>
    <w:multiLevelType w:val="multilevel"/>
    <w:tmpl w:val="0D942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E767D"/>
    <w:multiLevelType w:val="multilevel"/>
    <w:tmpl w:val="10BE76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30F5E40"/>
    <w:multiLevelType w:val="multilevel"/>
    <w:tmpl w:val="130F5E4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139457B6"/>
    <w:multiLevelType w:val="multilevel"/>
    <w:tmpl w:val="139457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706024A"/>
    <w:multiLevelType w:val="multilevel"/>
    <w:tmpl w:val="1706024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8BC2450"/>
    <w:multiLevelType w:val="multilevel"/>
    <w:tmpl w:val="18BC2450"/>
    <w:lvl w:ilvl="0">
      <w:start w:val="1"/>
      <w:numFmt w:val="decimal"/>
      <w:lvlText w:val="%1."/>
      <w:lvlJc w:val="left"/>
      <w:pPr>
        <w:ind w:left="720" w:hanging="360"/>
      </w:pPr>
      <w:rPr>
        <w:rFonts w:asciiTheme="minorHAnsi" w:hAnsi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A556228"/>
    <w:multiLevelType w:val="multilevel"/>
    <w:tmpl w:val="1A5562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B1336C"/>
    <w:multiLevelType w:val="multilevel"/>
    <w:tmpl w:val="1AB133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B471F87"/>
    <w:multiLevelType w:val="multilevel"/>
    <w:tmpl w:val="1B471F8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1E530F24"/>
    <w:multiLevelType w:val="multilevel"/>
    <w:tmpl w:val="1E530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E8CE21A"/>
    <w:multiLevelType w:val="singleLevel"/>
    <w:tmpl w:val="1E8CE21A"/>
    <w:lvl w:ilvl="0">
      <w:start w:val="1"/>
      <w:numFmt w:val="decimal"/>
      <w:suff w:val="space"/>
      <w:lvlText w:val="%1."/>
      <w:lvlJc w:val="left"/>
    </w:lvl>
  </w:abstractNum>
  <w:abstractNum w:abstractNumId="34">
    <w:nsid w:val="22CF7A63"/>
    <w:multiLevelType w:val="singleLevel"/>
    <w:tmpl w:val="22CF7A63"/>
    <w:lvl w:ilvl="0">
      <w:start w:val="1"/>
      <w:numFmt w:val="decimal"/>
      <w:lvlText w:val="%1."/>
      <w:lvlJc w:val="left"/>
      <w:pPr>
        <w:tabs>
          <w:tab w:val="left" w:pos="425"/>
        </w:tabs>
        <w:ind w:left="425" w:hanging="425"/>
      </w:pPr>
      <w:rPr>
        <w:rFonts w:hint="default"/>
      </w:rPr>
    </w:lvl>
  </w:abstractNum>
  <w:abstractNum w:abstractNumId="35">
    <w:nsid w:val="23C4BD7F"/>
    <w:multiLevelType w:val="singleLevel"/>
    <w:tmpl w:val="23C4BD7F"/>
    <w:lvl w:ilvl="0">
      <w:start w:val="1"/>
      <w:numFmt w:val="decimal"/>
      <w:lvlText w:val="%1."/>
      <w:lvlJc w:val="left"/>
      <w:pPr>
        <w:tabs>
          <w:tab w:val="left" w:pos="425"/>
        </w:tabs>
        <w:ind w:left="425" w:hanging="425"/>
      </w:pPr>
      <w:rPr>
        <w:rFonts w:hint="default"/>
      </w:rPr>
    </w:lvl>
  </w:abstractNum>
  <w:abstractNum w:abstractNumId="36">
    <w:nsid w:val="270A735F"/>
    <w:multiLevelType w:val="multilevel"/>
    <w:tmpl w:val="270A735F"/>
    <w:lvl w:ilvl="0">
      <w:start w:val="1"/>
      <w:numFmt w:val="decimal"/>
      <w:lvlText w:val="%1."/>
      <w:lvlJc w:val="left"/>
      <w:pPr>
        <w:ind w:left="633" w:hanging="360"/>
      </w:pPr>
      <w:rPr>
        <w:rFonts w:hint="default"/>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37">
    <w:nsid w:val="2C2668BE"/>
    <w:multiLevelType w:val="singleLevel"/>
    <w:tmpl w:val="2C2668BE"/>
    <w:lvl w:ilvl="0">
      <w:start w:val="1"/>
      <w:numFmt w:val="lowerLetter"/>
      <w:lvlText w:val="%1."/>
      <w:lvlJc w:val="left"/>
      <w:pPr>
        <w:tabs>
          <w:tab w:val="left" w:pos="425"/>
        </w:tabs>
        <w:ind w:left="425" w:hanging="425"/>
      </w:pPr>
      <w:rPr>
        <w:rFonts w:hint="default"/>
      </w:rPr>
    </w:lvl>
  </w:abstractNum>
  <w:abstractNum w:abstractNumId="38">
    <w:nsid w:val="32A72469"/>
    <w:multiLevelType w:val="singleLevel"/>
    <w:tmpl w:val="32A72469"/>
    <w:lvl w:ilvl="0">
      <w:start w:val="1"/>
      <w:numFmt w:val="decimal"/>
      <w:lvlText w:val="%1."/>
      <w:lvlJc w:val="left"/>
      <w:pPr>
        <w:tabs>
          <w:tab w:val="left" w:pos="425"/>
        </w:tabs>
        <w:ind w:left="425" w:hanging="425"/>
      </w:pPr>
      <w:rPr>
        <w:rFonts w:hint="default"/>
      </w:rPr>
    </w:lvl>
  </w:abstractNum>
  <w:abstractNum w:abstractNumId="39">
    <w:nsid w:val="38E31FFC"/>
    <w:multiLevelType w:val="multilevel"/>
    <w:tmpl w:val="38E31FF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nsid w:val="41633DEA"/>
    <w:multiLevelType w:val="multilevel"/>
    <w:tmpl w:val="41633D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87C639A"/>
    <w:multiLevelType w:val="singleLevel"/>
    <w:tmpl w:val="487C639A"/>
    <w:lvl w:ilvl="0">
      <w:start w:val="1"/>
      <w:numFmt w:val="decimal"/>
      <w:lvlText w:val="%1."/>
      <w:lvlJc w:val="left"/>
      <w:pPr>
        <w:tabs>
          <w:tab w:val="left" w:pos="425"/>
        </w:tabs>
        <w:ind w:left="425" w:hanging="425"/>
      </w:pPr>
      <w:rPr>
        <w:rFonts w:hint="default"/>
      </w:rPr>
    </w:lvl>
  </w:abstractNum>
  <w:abstractNum w:abstractNumId="42">
    <w:nsid w:val="4F0369C9"/>
    <w:multiLevelType w:val="multilevel"/>
    <w:tmpl w:val="4F0369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2D453F3"/>
    <w:multiLevelType w:val="multilevel"/>
    <w:tmpl w:val="52D453F3"/>
    <w:lvl w:ilvl="0">
      <w:start w:val="1"/>
      <w:numFmt w:val="decimal"/>
      <w:lvlText w:val="%1."/>
      <w:lvlJc w:val="left"/>
      <w:pPr>
        <w:ind w:left="850" w:hanging="360"/>
      </w:pPr>
      <w:rPr>
        <w:rFonts w:cs="Times New Roman" w:hint="default"/>
      </w:rPr>
    </w:lvl>
    <w:lvl w:ilvl="1">
      <w:start w:val="1"/>
      <w:numFmt w:val="lowerLetter"/>
      <w:lvlText w:val="%2."/>
      <w:lvlJc w:val="left"/>
      <w:pPr>
        <w:ind w:left="1570" w:hanging="360"/>
      </w:pPr>
      <w:rPr>
        <w:rFonts w:cs="Times New Roman"/>
      </w:rPr>
    </w:lvl>
    <w:lvl w:ilvl="2">
      <w:start w:val="1"/>
      <w:numFmt w:val="lowerRoman"/>
      <w:lvlText w:val="%3."/>
      <w:lvlJc w:val="right"/>
      <w:pPr>
        <w:ind w:left="2290" w:hanging="180"/>
      </w:pPr>
      <w:rPr>
        <w:rFonts w:cs="Times New Roman"/>
      </w:rPr>
    </w:lvl>
    <w:lvl w:ilvl="3">
      <w:start w:val="1"/>
      <w:numFmt w:val="decimal"/>
      <w:lvlText w:val="%4."/>
      <w:lvlJc w:val="left"/>
      <w:pPr>
        <w:ind w:left="3010" w:hanging="360"/>
      </w:pPr>
      <w:rPr>
        <w:rFonts w:cs="Times New Roman"/>
      </w:rPr>
    </w:lvl>
    <w:lvl w:ilvl="4">
      <w:start w:val="1"/>
      <w:numFmt w:val="lowerLetter"/>
      <w:lvlText w:val="%5."/>
      <w:lvlJc w:val="left"/>
      <w:pPr>
        <w:ind w:left="3730" w:hanging="360"/>
      </w:pPr>
      <w:rPr>
        <w:rFonts w:cs="Times New Roman"/>
      </w:rPr>
    </w:lvl>
    <w:lvl w:ilvl="5">
      <w:start w:val="1"/>
      <w:numFmt w:val="lowerRoman"/>
      <w:lvlText w:val="%6."/>
      <w:lvlJc w:val="right"/>
      <w:pPr>
        <w:ind w:left="4450" w:hanging="180"/>
      </w:pPr>
      <w:rPr>
        <w:rFonts w:cs="Times New Roman"/>
      </w:rPr>
    </w:lvl>
    <w:lvl w:ilvl="6">
      <w:start w:val="1"/>
      <w:numFmt w:val="decimal"/>
      <w:lvlText w:val="%7."/>
      <w:lvlJc w:val="left"/>
      <w:pPr>
        <w:ind w:left="5170" w:hanging="360"/>
      </w:pPr>
      <w:rPr>
        <w:rFonts w:cs="Times New Roman"/>
      </w:rPr>
    </w:lvl>
    <w:lvl w:ilvl="7">
      <w:start w:val="1"/>
      <w:numFmt w:val="lowerLetter"/>
      <w:lvlText w:val="%8."/>
      <w:lvlJc w:val="left"/>
      <w:pPr>
        <w:ind w:left="5890" w:hanging="360"/>
      </w:pPr>
      <w:rPr>
        <w:rFonts w:cs="Times New Roman"/>
      </w:rPr>
    </w:lvl>
    <w:lvl w:ilvl="8">
      <w:start w:val="1"/>
      <w:numFmt w:val="lowerRoman"/>
      <w:lvlText w:val="%9."/>
      <w:lvlJc w:val="right"/>
      <w:pPr>
        <w:ind w:left="6610" w:hanging="180"/>
      </w:pPr>
      <w:rPr>
        <w:rFonts w:cs="Times New Roman"/>
      </w:rPr>
    </w:lvl>
  </w:abstractNum>
  <w:abstractNum w:abstractNumId="44">
    <w:nsid w:val="556E1AA8"/>
    <w:multiLevelType w:val="multilevel"/>
    <w:tmpl w:val="556E1A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5820795"/>
    <w:multiLevelType w:val="singleLevel"/>
    <w:tmpl w:val="55820795"/>
    <w:lvl w:ilvl="0">
      <w:start w:val="1"/>
      <w:numFmt w:val="decimal"/>
      <w:lvlText w:val="%1."/>
      <w:lvlJc w:val="left"/>
      <w:pPr>
        <w:tabs>
          <w:tab w:val="left" w:pos="425"/>
        </w:tabs>
        <w:ind w:left="425" w:hanging="425"/>
      </w:pPr>
      <w:rPr>
        <w:rFonts w:hint="default"/>
      </w:rPr>
    </w:lvl>
  </w:abstractNum>
  <w:abstractNum w:abstractNumId="46">
    <w:nsid w:val="55E7366C"/>
    <w:multiLevelType w:val="singleLevel"/>
    <w:tmpl w:val="55E7366C"/>
    <w:lvl w:ilvl="0">
      <w:start w:val="1"/>
      <w:numFmt w:val="decimal"/>
      <w:lvlText w:val="%1."/>
      <w:lvlJc w:val="left"/>
      <w:pPr>
        <w:tabs>
          <w:tab w:val="left" w:pos="425"/>
        </w:tabs>
        <w:ind w:left="425" w:hanging="425"/>
      </w:pPr>
      <w:rPr>
        <w:rFonts w:hint="default"/>
      </w:rPr>
    </w:lvl>
  </w:abstractNum>
  <w:abstractNum w:abstractNumId="47">
    <w:nsid w:val="5709DC3C"/>
    <w:multiLevelType w:val="singleLevel"/>
    <w:tmpl w:val="5709DC3C"/>
    <w:lvl w:ilvl="0">
      <w:start w:val="1"/>
      <w:numFmt w:val="decimal"/>
      <w:lvlText w:val="%1."/>
      <w:lvlJc w:val="left"/>
      <w:pPr>
        <w:tabs>
          <w:tab w:val="left" w:pos="425"/>
        </w:tabs>
        <w:ind w:left="425" w:hanging="425"/>
      </w:pPr>
      <w:rPr>
        <w:rFonts w:hint="default"/>
      </w:rPr>
    </w:lvl>
  </w:abstractNum>
  <w:abstractNum w:abstractNumId="48">
    <w:nsid w:val="585F06D0"/>
    <w:multiLevelType w:val="multilevel"/>
    <w:tmpl w:val="585F06D0"/>
    <w:lvl w:ilvl="0">
      <w:start w:val="1"/>
      <w:numFmt w:val="decimal"/>
      <w:lvlText w:val="%1."/>
      <w:lvlJc w:val="left"/>
      <w:pPr>
        <w:ind w:left="890" w:hanging="360"/>
      </w:pPr>
    </w:lvl>
    <w:lvl w:ilvl="1">
      <w:start w:val="1"/>
      <w:numFmt w:val="lowerLetter"/>
      <w:lvlText w:val="%2."/>
      <w:lvlJc w:val="left"/>
      <w:pPr>
        <w:ind w:left="90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49">
    <w:nsid w:val="5D9F79CB"/>
    <w:multiLevelType w:val="multilevel"/>
    <w:tmpl w:val="5D9F79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E897097"/>
    <w:multiLevelType w:val="multilevel"/>
    <w:tmpl w:val="5E897097"/>
    <w:lvl w:ilvl="0">
      <w:start w:val="527"/>
      <w:numFmt w:val="bullet"/>
      <w:lvlText w:val="-"/>
      <w:lvlJc w:val="left"/>
      <w:pPr>
        <w:ind w:left="786" w:hanging="360"/>
      </w:pPr>
      <w:rPr>
        <w:rFonts w:ascii="Calibri" w:eastAsiaTheme="minorEastAsia" w:hAnsi="Calibri" w:cstheme="minorBidi"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1">
    <w:nsid w:val="61567958"/>
    <w:multiLevelType w:val="multilevel"/>
    <w:tmpl w:val="6156795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Calibri" w:eastAsiaTheme="minorEastAsia" w:hAnsi="Calibri" w:cstheme="minorBidi"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2331C5B"/>
    <w:multiLevelType w:val="multilevel"/>
    <w:tmpl w:val="62331C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239027F"/>
    <w:multiLevelType w:val="multilevel"/>
    <w:tmpl w:val="623902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6427310"/>
    <w:multiLevelType w:val="singleLevel"/>
    <w:tmpl w:val="66427310"/>
    <w:lvl w:ilvl="0">
      <w:start w:val="1"/>
      <w:numFmt w:val="decimal"/>
      <w:lvlText w:val="%1."/>
      <w:lvlJc w:val="left"/>
      <w:pPr>
        <w:tabs>
          <w:tab w:val="left" w:pos="425"/>
        </w:tabs>
        <w:ind w:left="425" w:hanging="425"/>
      </w:pPr>
      <w:rPr>
        <w:rFonts w:hint="default"/>
      </w:rPr>
    </w:lvl>
  </w:abstractNum>
  <w:abstractNum w:abstractNumId="55">
    <w:nsid w:val="6773D789"/>
    <w:multiLevelType w:val="singleLevel"/>
    <w:tmpl w:val="6773D789"/>
    <w:lvl w:ilvl="0">
      <w:start w:val="1"/>
      <w:numFmt w:val="decimal"/>
      <w:suff w:val="space"/>
      <w:lvlText w:val="%1."/>
      <w:lvlJc w:val="left"/>
    </w:lvl>
  </w:abstractNum>
  <w:abstractNum w:abstractNumId="56">
    <w:nsid w:val="67F8733E"/>
    <w:multiLevelType w:val="multilevel"/>
    <w:tmpl w:val="67F873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9AC8694"/>
    <w:multiLevelType w:val="singleLevel"/>
    <w:tmpl w:val="69AC8694"/>
    <w:lvl w:ilvl="0">
      <w:start w:val="1"/>
      <w:numFmt w:val="lowerLetter"/>
      <w:lvlText w:val="%1."/>
      <w:lvlJc w:val="left"/>
      <w:pPr>
        <w:tabs>
          <w:tab w:val="left" w:pos="425"/>
        </w:tabs>
        <w:ind w:left="425" w:hanging="425"/>
      </w:pPr>
      <w:rPr>
        <w:rFonts w:hint="default"/>
      </w:rPr>
    </w:lvl>
  </w:abstractNum>
  <w:abstractNum w:abstractNumId="58">
    <w:nsid w:val="6D9841A5"/>
    <w:multiLevelType w:val="multilevel"/>
    <w:tmpl w:val="6D9841A5"/>
    <w:lvl w:ilvl="0">
      <w:start w:val="1"/>
      <w:numFmt w:val="decimal"/>
      <w:lvlText w:val="%1."/>
      <w:lvlJc w:val="left"/>
      <w:pPr>
        <w:ind w:left="1080" w:hanging="360"/>
      </w:pPr>
      <w:rPr>
        <w:rFonts w:cs="Aria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6DD41DAA"/>
    <w:multiLevelType w:val="multilevel"/>
    <w:tmpl w:val="6DD41D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F3C0D41"/>
    <w:multiLevelType w:val="multilevel"/>
    <w:tmpl w:val="6F3C0D4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1"/>
  </w:num>
  <w:num w:numId="2">
    <w:abstractNumId w:val="43"/>
  </w:num>
  <w:num w:numId="3">
    <w:abstractNumId w:val="51"/>
  </w:num>
  <w:num w:numId="4">
    <w:abstractNumId w:val="35"/>
  </w:num>
  <w:num w:numId="5">
    <w:abstractNumId w:val="15"/>
  </w:num>
  <w:num w:numId="6">
    <w:abstractNumId w:val="24"/>
  </w:num>
  <w:num w:numId="7">
    <w:abstractNumId w:val="36"/>
  </w:num>
  <w:num w:numId="8">
    <w:abstractNumId w:val="41"/>
  </w:num>
  <w:num w:numId="9">
    <w:abstractNumId w:val="7"/>
  </w:num>
  <w:num w:numId="10">
    <w:abstractNumId w:val="8"/>
  </w:num>
  <w:num w:numId="11">
    <w:abstractNumId w:val="0"/>
  </w:num>
  <w:num w:numId="12">
    <w:abstractNumId w:val="5"/>
  </w:num>
  <w:num w:numId="13">
    <w:abstractNumId w:val="57"/>
  </w:num>
  <w:num w:numId="14">
    <w:abstractNumId w:val="17"/>
  </w:num>
  <w:num w:numId="15">
    <w:abstractNumId w:val="6"/>
  </w:num>
  <w:num w:numId="16">
    <w:abstractNumId w:val="48"/>
  </w:num>
  <w:num w:numId="17">
    <w:abstractNumId w:val="26"/>
  </w:num>
  <w:num w:numId="18">
    <w:abstractNumId w:val="40"/>
  </w:num>
  <w:num w:numId="19">
    <w:abstractNumId w:val="52"/>
  </w:num>
  <w:num w:numId="20">
    <w:abstractNumId w:val="39"/>
  </w:num>
  <w:num w:numId="21">
    <w:abstractNumId w:val="46"/>
  </w:num>
  <w:num w:numId="22">
    <w:abstractNumId w:val="49"/>
  </w:num>
  <w:num w:numId="23">
    <w:abstractNumId w:val="32"/>
  </w:num>
  <w:num w:numId="24">
    <w:abstractNumId w:val="47"/>
  </w:num>
  <w:num w:numId="25">
    <w:abstractNumId w:val="33"/>
  </w:num>
  <w:num w:numId="26">
    <w:abstractNumId w:val="55"/>
  </w:num>
  <w:num w:numId="27">
    <w:abstractNumId w:val="42"/>
  </w:num>
  <w:num w:numId="28">
    <w:abstractNumId w:val="30"/>
  </w:num>
  <w:num w:numId="29">
    <w:abstractNumId w:val="14"/>
  </w:num>
  <w:num w:numId="30">
    <w:abstractNumId w:val="22"/>
  </w:num>
  <w:num w:numId="31">
    <w:abstractNumId w:val="60"/>
  </w:num>
  <w:num w:numId="32">
    <w:abstractNumId w:val="3"/>
  </w:num>
  <w:num w:numId="33">
    <w:abstractNumId w:val="12"/>
  </w:num>
  <w:num w:numId="34">
    <w:abstractNumId w:val="4"/>
  </w:num>
  <w:num w:numId="35">
    <w:abstractNumId w:val="13"/>
  </w:num>
  <w:num w:numId="36">
    <w:abstractNumId w:val="37"/>
  </w:num>
  <w:num w:numId="37">
    <w:abstractNumId w:val="9"/>
  </w:num>
  <w:num w:numId="38">
    <w:abstractNumId w:val="1"/>
  </w:num>
  <w:num w:numId="39">
    <w:abstractNumId w:val="25"/>
  </w:num>
  <w:num w:numId="40">
    <w:abstractNumId w:val="18"/>
  </w:num>
  <w:num w:numId="41">
    <w:abstractNumId w:val="54"/>
  </w:num>
  <w:num w:numId="42">
    <w:abstractNumId w:val="20"/>
  </w:num>
  <w:num w:numId="43">
    <w:abstractNumId w:val="45"/>
  </w:num>
  <w:num w:numId="44">
    <w:abstractNumId w:val="34"/>
  </w:num>
  <w:num w:numId="45">
    <w:abstractNumId w:val="31"/>
  </w:num>
  <w:num w:numId="46">
    <w:abstractNumId w:val="16"/>
  </w:num>
  <w:num w:numId="47">
    <w:abstractNumId w:val="53"/>
  </w:num>
  <w:num w:numId="48">
    <w:abstractNumId w:val="19"/>
  </w:num>
  <w:num w:numId="49">
    <w:abstractNumId w:val="38"/>
  </w:num>
  <w:num w:numId="50">
    <w:abstractNumId w:val="11"/>
  </w:num>
  <w:num w:numId="51">
    <w:abstractNumId w:val="2"/>
  </w:num>
  <w:num w:numId="52">
    <w:abstractNumId w:val="23"/>
  </w:num>
  <w:num w:numId="53">
    <w:abstractNumId w:val="58"/>
  </w:num>
  <w:num w:numId="54">
    <w:abstractNumId w:val="10"/>
  </w:num>
  <w:num w:numId="55">
    <w:abstractNumId w:val="59"/>
  </w:num>
  <w:num w:numId="56">
    <w:abstractNumId w:val="44"/>
  </w:num>
  <w:num w:numId="57">
    <w:abstractNumId w:val="27"/>
  </w:num>
  <w:num w:numId="58">
    <w:abstractNumId w:val="50"/>
  </w:num>
  <w:num w:numId="59">
    <w:abstractNumId w:val="28"/>
  </w:num>
  <w:num w:numId="60">
    <w:abstractNumId w:val="56"/>
  </w:num>
  <w:num w:numId="61">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noPunctuationKerning/>
  <w:characterSpacingControl w:val="doNotCompress"/>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2"/>
  </w:compat>
  <w:rsids>
    <w:rsidRoot w:val="00864BC8"/>
    <w:rsid w:val="0000058C"/>
    <w:rsid w:val="00002579"/>
    <w:rsid w:val="00002B7E"/>
    <w:rsid w:val="00004BD7"/>
    <w:rsid w:val="000051DC"/>
    <w:rsid w:val="00005AFD"/>
    <w:rsid w:val="00007535"/>
    <w:rsid w:val="00007C9C"/>
    <w:rsid w:val="00011165"/>
    <w:rsid w:val="00011D86"/>
    <w:rsid w:val="00012255"/>
    <w:rsid w:val="000125A3"/>
    <w:rsid w:val="00012B6C"/>
    <w:rsid w:val="0001468A"/>
    <w:rsid w:val="00015D15"/>
    <w:rsid w:val="00020307"/>
    <w:rsid w:val="00020687"/>
    <w:rsid w:val="00022227"/>
    <w:rsid w:val="00024D18"/>
    <w:rsid w:val="00030F0B"/>
    <w:rsid w:val="000324D4"/>
    <w:rsid w:val="00033CB4"/>
    <w:rsid w:val="00040AA2"/>
    <w:rsid w:val="00043600"/>
    <w:rsid w:val="00044AA5"/>
    <w:rsid w:val="0004509B"/>
    <w:rsid w:val="0004622C"/>
    <w:rsid w:val="00046742"/>
    <w:rsid w:val="0004767B"/>
    <w:rsid w:val="00047DA4"/>
    <w:rsid w:val="00053453"/>
    <w:rsid w:val="0005350E"/>
    <w:rsid w:val="00053D31"/>
    <w:rsid w:val="0005773F"/>
    <w:rsid w:val="00060797"/>
    <w:rsid w:val="000629A1"/>
    <w:rsid w:val="00062C60"/>
    <w:rsid w:val="00065610"/>
    <w:rsid w:val="00065E55"/>
    <w:rsid w:val="00067A57"/>
    <w:rsid w:val="00067D42"/>
    <w:rsid w:val="00071538"/>
    <w:rsid w:val="000723F5"/>
    <w:rsid w:val="000727CA"/>
    <w:rsid w:val="00075829"/>
    <w:rsid w:val="00075A07"/>
    <w:rsid w:val="00075F5B"/>
    <w:rsid w:val="00076EC9"/>
    <w:rsid w:val="000831FC"/>
    <w:rsid w:val="000857F7"/>
    <w:rsid w:val="00085E72"/>
    <w:rsid w:val="00086052"/>
    <w:rsid w:val="00086FD2"/>
    <w:rsid w:val="00087420"/>
    <w:rsid w:val="0008799E"/>
    <w:rsid w:val="00090F6A"/>
    <w:rsid w:val="00092AF5"/>
    <w:rsid w:val="000934C5"/>
    <w:rsid w:val="00093F29"/>
    <w:rsid w:val="00095709"/>
    <w:rsid w:val="00095C9C"/>
    <w:rsid w:val="00095D17"/>
    <w:rsid w:val="000961B6"/>
    <w:rsid w:val="000A0675"/>
    <w:rsid w:val="000A21FA"/>
    <w:rsid w:val="000A6BEA"/>
    <w:rsid w:val="000A76A2"/>
    <w:rsid w:val="000B1703"/>
    <w:rsid w:val="000B1AB9"/>
    <w:rsid w:val="000B1C65"/>
    <w:rsid w:val="000B4C46"/>
    <w:rsid w:val="000B6366"/>
    <w:rsid w:val="000C07E7"/>
    <w:rsid w:val="000C2BBF"/>
    <w:rsid w:val="000C34F0"/>
    <w:rsid w:val="000C3D67"/>
    <w:rsid w:val="000C4A3C"/>
    <w:rsid w:val="000C613B"/>
    <w:rsid w:val="000C673A"/>
    <w:rsid w:val="000C7105"/>
    <w:rsid w:val="000D05BD"/>
    <w:rsid w:val="000D083E"/>
    <w:rsid w:val="000D084F"/>
    <w:rsid w:val="000D533C"/>
    <w:rsid w:val="000E034C"/>
    <w:rsid w:val="000E16B7"/>
    <w:rsid w:val="000E1B29"/>
    <w:rsid w:val="000E4CA0"/>
    <w:rsid w:val="000E5DC7"/>
    <w:rsid w:val="000E7227"/>
    <w:rsid w:val="000E744C"/>
    <w:rsid w:val="000E75BF"/>
    <w:rsid w:val="000F3102"/>
    <w:rsid w:val="000F32F7"/>
    <w:rsid w:val="000F4330"/>
    <w:rsid w:val="000F76C0"/>
    <w:rsid w:val="00100637"/>
    <w:rsid w:val="00100D32"/>
    <w:rsid w:val="001011E5"/>
    <w:rsid w:val="0010268D"/>
    <w:rsid w:val="00102909"/>
    <w:rsid w:val="00103538"/>
    <w:rsid w:val="00103DAB"/>
    <w:rsid w:val="00104296"/>
    <w:rsid w:val="00104668"/>
    <w:rsid w:val="00105EC9"/>
    <w:rsid w:val="00106CFD"/>
    <w:rsid w:val="00110CCA"/>
    <w:rsid w:val="00110D56"/>
    <w:rsid w:val="00111044"/>
    <w:rsid w:val="00112245"/>
    <w:rsid w:val="00114157"/>
    <w:rsid w:val="0011543F"/>
    <w:rsid w:val="00116075"/>
    <w:rsid w:val="00116D2A"/>
    <w:rsid w:val="00116F5B"/>
    <w:rsid w:val="001217F9"/>
    <w:rsid w:val="0012305C"/>
    <w:rsid w:val="001248BD"/>
    <w:rsid w:val="001274D5"/>
    <w:rsid w:val="001275AE"/>
    <w:rsid w:val="001327A8"/>
    <w:rsid w:val="0013307B"/>
    <w:rsid w:val="00135746"/>
    <w:rsid w:val="00136AAB"/>
    <w:rsid w:val="00137870"/>
    <w:rsid w:val="00137FB5"/>
    <w:rsid w:val="00141503"/>
    <w:rsid w:val="00142020"/>
    <w:rsid w:val="00142A39"/>
    <w:rsid w:val="00142C21"/>
    <w:rsid w:val="00142C45"/>
    <w:rsid w:val="001449C0"/>
    <w:rsid w:val="0014530A"/>
    <w:rsid w:val="00145962"/>
    <w:rsid w:val="00145B88"/>
    <w:rsid w:val="001463FA"/>
    <w:rsid w:val="00153CD8"/>
    <w:rsid w:val="00155181"/>
    <w:rsid w:val="001559C6"/>
    <w:rsid w:val="00156B34"/>
    <w:rsid w:val="001601BD"/>
    <w:rsid w:val="00160A0F"/>
    <w:rsid w:val="00160AC5"/>
    <w:rsid w:val="00162BCD"/>
    <w:rsid w:val="00164DCE"/>
    <w:rsid w:val="00166697"/>
    <w:rsid w:val="00167BCE"/>
    <w:rsid w:val="001704F7"/>
    <w:rsid w:val="00172B68"/>
    <w:rsid w:val="001739CB"/>
    <w:rsid w:val="001760A8"/>
    <w:rsid w:val="001765E2"/>
    <w:rsid w:val="00177111"/>
    <w:rsid w:val="00180E85"/>
    <w:rsid w:val="00182C0B"/>
    <w:rsid w:val="00183461"/>
    <w:rsid w:val="0018362D"/>
    <w:rsid w:val="00183F39"/>
    <w:rsid w:val="00185892"/>
    <w:rsid w:val="00185A77"/>
    <w:rsid w:val="001874AC"/>
    <w:rsid w:val="00192208"/>
    <w:rsid w:val="00195756"/>
    <w:rsid w:val="0019673E"/>
    <w:rsid w:val="00196781"/>
    <w:rsid w:val="001A10A2"/>
    <w:rsid w:val="001A192F"/>
    <w:rsid w:val="001A5953"/>
    <w:rsid w:val="001A6371"/>
    <w:rsid w:val="001A6B3C"/>
    <w:rsid w:val="001A7290"/>
    <w:rsid w:val="001B0944"/>
    <w:rsid w:val="001B23CA"/>
    <w:rsid w:val="001B3F58"/>
    <w:rsid w:val="001B4103"/>
    <w:rsid w:val="001B45CB"/>
    <w:rsid w:val="001B65C1"/>
    <w:rsid w:val="001B7316"/>
    <w:rsid w:val="001C1F39"/>
    <w:rsid w:val="001C34DE"/>
    <w:rsid w:val="001C3FB5"/>
    <w:rsid w:val="001C4BB0"/>
    <w:rsid w:val="001C4D73"/>
    <w:rsid w:val="001C60CF"/>
    <w:rsid w:val="001C71A4"/>
    <w:rsid w:val="001D163F"/>
    <w:rsid w:val="001D1658"/>
    <w:rsid w:val="001D1A15"/>
    <w:rsid w:val="001D3246"/>
    <w:rsid w:val="001D33E2"/>
    <w:rsid w:val="001D3B81"/>
    <w:rsid w:val="001D48F0"/>
    <w:rsid w:val="001D5F66"/>
    <w:rsid w:val="001D6141"/>
    <w:rsid w:val="001E0348"/>
    <w:rsid w:val="001E1084"/>
    <w:rsid w:val="001E1F34"/>
    <w:rsid w:val="001E205A"/>
    <w:rsid w:val="001E2B76"/>
    <w:rsid w:val="001E2B92"/>
    <w:rsid w:val="001E554D"/>
    <w:rsid w:val="001E5C7C"/>
    <w:rsid w:val="001E759C"/>
    <w:rsid w:val="001F0602"/>
    <w:rsid w:val="001F0891"/>
    <w:rsid w:val="001F1E22"/>
    <w:rsid w:val="001F2184"/>
    <w:rsid w:val="001F33F7"/>
    <w:rsid w:val="001F45F4"/>
    <w:rsid w:val="001F5A07"/>
    <w:rsid w:val="001F64E8"/>
    <w:rsid w:val="001F71C6"/>
    <w:rsid w:val="001F7972"/>
    <w:rsid w:val="002007C1"/>
    <w:rsid w:val="00200B4C"/>
    <w:rsid w:val="00201BB0"/>
    <w:rsid w:val="00202B0F"/>
    <w:rsid w:val="00202E68"/>
    <w:rsid w:val="00202EC8"/>
    <w:rsid w:val="00205D68"/>
    <w:rsid w:val="0020628A"/>
    <w:rsid w:val="00207078"/>
    <w:rsid w:val="002100FA"/>
    <w:rsid w:val="002105D6"/>
    <w:rsid w:val="0021187D"/>
    <w:rsid w:val="002125E0"/>
    <w:rsid w:val="002141A0"/>
    <w:rsid w:val="00216199"/>
    <w:rsid w:val="0021655B"/>
    <w:rsid w:val="0021707C"/>
    <w:rsid w:val="0021758B"/>
    <w:rsid w:val="0022021C"/>
    <w:rsid w:val="00230AF0"/>
    <w:rsid w:val="00232273"/>
    <w:rsid w:val="00233540"/>
    <w:rsid w:val="00233BCB"/>
    <w:rsid w:val="00234214"/>
    <w:rsid w:val="00234B2A"/>
    <w:rsid w:val="00237985"/>
    <w:rsid w:val="00240286"/>
    <w:rsid w:val="00242588"/>
    <w:rsid w:val="00243B1A"/>
    <w:rsid w:val="00243D2D"/>
    <w:rsid w:val="00245823"/>
    <w:rsid w:val="0024667B"/>
    <w:rsid w:val="00246F21"/>
    <w:rsid w:val="0025057E"/>
    <w:rsid w:val="00251FE4"/>
    <w:rsid w:val="0025205A"/>
    <w:rsid w:val="002530BA"/>
    <w:rsid w:val="002540CB"/>
    <w:rsid w:val="00255A2F"/>
    <w:rsid w:val="00255B81"/>
    <w:rsid w:val="00256B00"/>
    <w:rsid w:val="002573C0"/>
    <w:rsid w:val="00257B69"/>
    <w:rsid w:val="00263DC0"/>
    <w:rsid w:val="002648DF"/>
    <w:rsid w:val="0026680E"/>
    <w:rsid w:val="00266B2C"/>
    <w:rsid w:val="00270527"/>
    <w:rsid w:val="00271F32"/>
    <w:rsid w:val="00273A52"/>
    <w:rsid w:val="00275C3A"/>
    <w:rsid w:val="00280664"/>
    <w:rsid w:val="00280994"/>
    <w:rsid w:val="00282186"/>
    <w:rsid w:val="00283C46"/>
    <w:rsid w:val="00284A24"/>
    <w:rsid w:val="00284EC8"/>
    <w:rsid w:val="00285D72"/>
    <w:rsid w:val="00286503"/>
    <w:rsid w:val="00286EA0"/>
    <w:rsid w:val="0028743C"/>
    <w:rsid w:val="00287605"/>
    <w:rsid w:val="00287661"/>
    <w:rsid w:val="0028767A"/>
    <w:rsid w:val="00290C50"/>
    <w:rsid w:val="002918EF"/>
    <w:rsid w:val="00295784"/>
    <w:rsid w:val="00295CE5"/>
    <w:rsid w:val="00296C36"/>
    <w:rsid w:val="002979A3"/>
    <w:rsid w:val="00297C35"/>
    <w:rsid w:val="002A01FC"/>
    <w:rsid w:val="002A0E3A"/>
    <w:rsid w:val="002A1502"/>
    <w:rsid w:val="002A3CF8"/>
    <w:rsid w:val="002A4391"/>
    <w:rsid w:val="002A6996"/>
    <w:rsid w:val="002A7CC4"/>
    <w:rsid w:val="002B1CCD"/>
    <w:rsid w:val="002B43B3"/>
    <w:rsid w:val="002B51AF"/>
    <w:rsid w:val="002B6109"/>
    <w:rsid w:val="002B6FD9"/>
    <w:rsid w:val="002C0195"/>
    <w:rsid w:val="002C2CF2"/>
    <w:rsid w:val="002C4029"/>
    <w:rsid w:val="002C42EB"/>
    <w:rsid w:val="002C75EE"/>
    <w:rsid w:val="002C7945"/>
    <w:rsid w:val="002C7ED7"/>
    <w:rsid w:val="002D0DF2"/>
    <w:rsid w:val="002D3023"/>
    <w:rsid w:val="002D57EF"/>
    <w:rsid w:val="002D799C"/>
    <w:rsid w:val="002E38D0"/>
    <w:rsid w:val="002E3FD9"/>
    <w:rsid w:val="002E4461"/>
    <w:rsid w:val="002E44A4"/>
    <w:rsid w:val="002E4697"/>
    <w:rsid w:val="002E4884"/>
    <w:rsid w:val="002E6289"/>
    <w:rsid w:val="002E6C93"/>
    <w:rsid w:val="002F0594"/>
    <w:rsid w:val="002F49A8"/>
    <w:rsid w:val="002F4AAB"/>
    <w:rsid w:val="002F56AD"/>
    <w:rsid w:val="0030000C"/>
    <w:rsid w:val="00301630"/>
    <w:rsid w:val="00301803"/>
    <w:rsid w:val="003019BF"/>
    <w:rsid w:val="003048DC"/>
    <w:rsid w:val="00304E49"/>
    <w:rsid w:val="003054FD"/>
    <w:rsid w:val="0030584C"/>
    <w:rsid w:val="00305A87"/>
    <w:rsid w:val="0030606F"/>
    <w:rsid w:val="00310658"/>
    <w:rsid w:val="0031074B"/>
    <w:rsid w:val="00313412"/>
    <w:rsid w:val="003144D6"/>
    <w:rsid w:val="00315A05"/>
    <w:rsid w:val="00315ECE"/>
    <w:rsid w:val="00316919"/>
    <w:rsid w:val="00317AA7"/>
    <w:rsid w:val="0032006B"/>
    <w:rsid w:val="00322509"/>
    <w:rsid w:val="00322753"/>
    <w:rsid w:val="00322F72"/>
    <w:rsid w:val="00324790"/>
    <w:rsid w:val="00324CD8"/>
    <w:rsid w:val="003252AA"/>
    <w:rsid w:val="0033035A"/>
    <w:rsid w:val="0033283C"/>
    <w:rsid w:val="00332C3A"/>
    <w:rsid w:val="00333475"/>
    <w:rsid w:val="00334B3A"/>
    <w:rsid w:val="003404DB"/>
    <w:rsid w:val="00340B59"/>
    <w:rsid w:val="0034302D"/>
    <w:rsid w:val="0034729C"/>
    <w:rsid w:val="00350B10"/>
    <w:rsid w:val="003512A8"/>
    <w:rsid w:val="00351743"/>
    <w:rsid w:val="00351A5B"/>
    <w:rsid w:val="00351D5F"/>
    <w:rsid w:val="00352A38"/>
    <w:rsid w:val="00356C68"/>
    <w:rsid w:val="00357723"/>
    <w:rsid w:val="00360E9A"/>
    <w:rsid w:val="00361407"/>
    <w:rsid w:val="00362BC0"/>
    <w:rsid w:val="00362ED9"/>
    <w:rsid w:val="003720FE"/>
    <w:rsid w:val="00373947"/>
    <w:rsid w:val="00374391"/>
    <w:rsid w:val="003751D1"/>
    <w:rsid w:val="003758FD"/>
    <w:rsid w:val="00376AB0"/>
    <w:rsid w:val="00377F90"/>
    <w:rsid w:val="00381980"/>
    <w:rsid w:val="00381CE4"/>
    <w:rsid w:val="00381F04"/>
    <w:rsid w:val="00383BAF"/>
    <w:rsid w:val="00384ACF"/>
    <w:rsid w:val="00384E42"/>
    <w:rsid w:val="00385078"/>
    <w:rsid w:val="0038695D"/>
    <w:rsid w:val="00386DA6"/>
    <w:rsid w:val="003874CD"/>
    <w:rsid w:val="00391F5C"/>
    <w:rsid w:val="00392971"/>
    <w:rsid w:val="00393A5B"/>
    <w:rsid w:val="00393F1A"/>
    <w:rsid w:val="003950E0"/>
    <w:rsid w:val="00395281"/>
    <w:rsid w:val="00395762"/>
    <w:rsid w:val="00397AFC"/>
    <w:rsid w:val="003A43F0"/>
    <w:rsid w:val="003A4DE7"/>
    <w:rsid w:val="003A4FB1"/>
    <w:rsid w:val="003A56CD"/>
    <w:rsid w:val="003A5E99"/>
    <w:rsid w:val="003B1820"/>
    <w:rsid w:val="003B49CB"/>
    <w:rsid w:val="003B523A"/>
    <w:rsid w:val="003B55DC"/>
    <w:rsid w:val="003B7C90"/>
    <w:rsid w:val="003B7D75"/>
    <w:rsid w:val="003C1484"/>
    <w:rsid w:val="003C2A5A"/>
    <w:rsid w:val="003C2AE5"/>
    <w:rsid w:val="003C3C4A"/>
    <w:rsid w:val="003C4142"/>
    <w:rsid w:val="003C4CF5"/>
    <w:rsid w:val="003C5B5C"/>
    <w:rsid w:val="003D22E0"/>
    <w:rsid w:val="003D2764"/>
    <w:rsid w:val="003D3B74"/>
    <w:rsid w:val="003D5A1F"/>
    <w:rsid w:val="003E04DA"/>
    <w:rsid w:val="003E1619"/>
    <w:rsid w:val="003E1816"/>
    <w:rsid w:val="003E51D7"/>
    <w:rsid w:val="003E597A"/>
    <w:rsid w:val="003E6C6B"/>
    <w:rsid w:val="003E6EA5"/>
    <w:rsid w:val="003F04F9"/>
    <w:rsid w:val="003F2E40"/>
    <w:rsid w:val="003F58D4"/>
    <w:rsid w:val="003F797A"/>
    <w:rsid w:val="004019BC"/>
    <w:rsid w:val="004024C1"/>
    <w:rsid w:val="00402EB2"/>
    <w:rsid w:val="004038AC"/>
    <w:rsid w:val="00405A63"/>
    <w:rsid w:val="0040635B"/>
    <w:rsid w:val="00407AA2"/>
    <w:rsid w:val="00411F6D"/>
    <w:rsid w:val="00412DE3"/>
    <w:rsid w:val="004131F0"/>
    <w:rsid w:val="00413958"/>
    <w:rsid w:val="00413C60"/>
    <w:rsid w:val="0041453D"/>
    <w:rsid w:val="00415F2C"/>
    <w:rsid w:val="004201EB"/>
    <w:rsid w:val="00422ECF"/>
    <w:rsid w:val="0042347E"/>
    <w:rsid w:val="00424915"/>
    <w:rsid w:val="00424EBD"/>
    <w:rsid w:val="00427A38"/>
    <w:rsid w:val="00430D5D"/>
    <w:rsid w:val="00432AA6"/>
    <w:rsid w:val="00432ABE"/>
    <w:rsid w:val="00440731"/>
    <w:rsid w:val="00440B80"/>
    <w:rsid w:val="004412AB"/>
    <w:rsid w:val="00442849"/>
    <w:rsid w:val="00442D98"/>
    <w:rsid w:val="00443041"/>
    <w:rsid w:val="004430B4"/>
    <w:rsid w:val="004439F7"/>
    <w:rsid w:val="00444475"/>
    <w:rsid w:val="004457D1"/>
    <w:rsid w:val="00450293"/>
    <w:rsid w:val="00451294"/>
    <w:rsid w:val="00452B69"/>
    <w:rsid w:val="004534B2"/>
    <w:rsid w:val="00457028"/>
    <w:rsid w:val="004650F9"/>
    <w:rsid w:val="00466A38"/>
    <w:rsid w:val="00467E04"/>
    <w:rsid w:val="004721C0"/>
    <w:rsid w:val="00475CF3"/>
    <w:rsid w:val="0047729F"/>
    <w:rsid w:val="004804BD"/>
    <w:rsid w:val="00480575"/>
    <w:rsid w:val="00480C28"/>
    <w:rsid w:val="0048392C"/>
    <w:rsid w:val="004844DE"/>
    <w:rsid w:val="004869F9"/>
    <w:rsid w:val="00486A46"/>
    <w:rsid w:val="00491A34"/>
    <w:rsid w:val="004930D1"/>
    <w:rsid w:val="0049382B"/>
    <w:rsid w:val="004A1312"/>
    <w:rsid w:val="004A24E0"/>
    <w:rsid w:val="004A2D1E"/>
    <w:rsid w:val="004A4CDE"/>
    <w:rsid w:val="004A53C8"/>
    <w:rsid w:val="004A5526"/>
    <w:rsid w:val="004A592A"/>
    <w:rsid w:val="004A70F6"/>
    <w:rsid w:val="004A7B51"/>
    <w:rsid w:val="004B1886"/>
    <w:rsid w:val="004B24C8"/>
    <w:rsid w:val="004B6F9D"/>
    <w:rsid w:val="004B709D"/>
    <w:rsid w:val="004C2F43"/>
    <w:rsid w:val="004C351B"/>
    <w:rsid w:val="004C573A"/>
    <w:rsid w:val="004C6F85"/>
    <w:rsid w:val="004C79FF"/>
    <w:rsid w:val="004D0CF1"/>
    <w:rsid w:val="004D10B8"/>
    <w:rsid w:val="004D1EA2"/>
    <w:rsid w:val="004D2F27"/>
    <w:rsid w:val="004D320B"/>
    <w:rsid w:val="004D3278"/>
    <w:rsid w:val="004D4397"/>
    <w:rsid w:val="004D6400"/>
    <w:rsid w:val="004E07BE"/>
    <w:rsid w:val="004E234C"/>
    <w:rsid w:val="004E37BD"/>
    <w:rsid w:val="004E5B46"/>
    <w:rsid w:val="004E6743"/>
    <w:rsid w:val="004E7F3B"/>
    <w:rsid w:val="004F270D"/>
    <w:rsid w:val="004F2730"/>
    <w:rsid w:val="004F3DC7"/>
    <w:rsid w:val="004F62B2"/>
    <w:rsid w:val="004F6E51"/>
    <w:rsid w:val="005008AA"/>
    <w:rsid w:val="00500DED"/>
    <w:rsid w:val="00501455"/>
    <w:rsid w:val="00501B75"/>
    <w:rsid w:val="00503A67"/>
    <w:rsid w:val="00503B72"/>
    <w:rsid w:val="00503BE6"/>
    <w:rsid w:val="005059EE"/>
    <w:rsid w:val="005108F4"/>
    <w:rsid w:val="00512004"/>
    <w:rsid w:val="00513FC7"/>
    <w:rsid w:val="0051673D"/>
    <w:rsid w:val="0051686E"/>
    <w:rsid w:val="00516ED4"/>
    <w:rsid w:val="005203B5"/>
    <w:rsid w:val="005210F6"/>
    <w:rsid w:val="0052173A"/>
    <w:rsid w:val="00521D1F"/>
    <w:rsid w:val="005233BB"/>
    <w:rsid w:val="0052540B"/>
    <w:rsid w:val="005303D8"/>
    <w:rsid w:val="00533308"/>
    <w:rsid w:val="00533753"/>
    <w:rsid w:val="005338C5"/>
    <w:rsid w:val="00533D7F"/>
    <w:rsid w:val="00534824"/>
    <w:rsid w:val="00535533"/>
    <w:rsid w:val="005400D4"/>
    <w:rsid w:val="00541706"/>
    <w:rsid w:val="00542161"/>
    <w:rsid w:val="00542D0D"/>
    <w:rsid w:val="00542FAB"/>
    <w:rsid w:val="00544960"/>
    <w:rsid w:val="0054519A"/>
    <w:rsid w:val="00546941"/>
    <w:rsid w:val="00550A86"/>
    <w:rsid w:val="00551638"/>
    <w:rsid w:val="00552401"/>
    <w:rsid w:val="00552B49"/>
    <w:rsid w:val="00560359"/>
    <w:rsid w:val="005603A2"/>
    <w:rsid w:val="005614F1"/>
    <w:rsid w:val="00561B63"/>
    <w:rsid w:val="00561B7C"/>
    <w:rsid w:val="00563611"/>
    <w:rsid w:val="00566FCB"/>
    <w:rsid w:val="005672BF"/>
    <w:rsid w:val="00570960"/>
    <w:rsid w:val="00571E1A"/>
    <w:rsid w:val="00573FF7"/>
    <w:rsid w:val="00581329"/>
    <w:rsid w:val="00581A8E"/>
    <w:rsid w:val="00582A48"/>
    <w:rsid w:val="00584B28"/>
    <w:rsid w:val="0058578C"/>
    <w:rsid w:val="00585AF6"/>
    <w:rsid w:val="00586510"/>
    <w:rsid w:val="00590A7F"/>
    <w:rsid w:val="005917C3"/>
    <w:rsid w:val="00591A99"/>
    <w:rsid w:val="0059263D"/>
    <w:rsid w:val="00592E2F"/>
    <w:rsid w:val="00593545"/>
    <w:rsid w:val="0059379A"/>
    <w:rsid w:val="0059396A"/>
    <w:rsid w:val="00595053"/>
    <w:rsid w:val="00595611"/>
    <w:rsid w:val="005A0CBB"/>
    <w:rsid w:val="005A181B"/>
    <w:rsid w:val="005A2E2E"/>
    <w:rsid w:val="005A35F1"/>
    <w:rsid w:val="005A3DBD"/>
    <w:rsid w:val="005A6400"/>
    <w:rsid w:val="005A7F77"/>
    <w:rsid w:val="005B0F4A"/>
    <w:rsid w:val="005B18A8"/>
    <w:rsid w:val="005B3823"/>
    <w:rsid w:val="005B4076"/>
    <w:rsid w:val="005B4957"/>
    <w:rsid w:val="005B58A4"/>
    <w:rsid w:val="005B59FC"/>
    <w:rsid w:val="005B5D2D"/>
    <w:rsid w:val="005B6FF4"/>
    <w:rsid w:val="005B7E1F"/>
    <w:rsid w:val="005C005C"/>
    <w:rsid w:val="005C2F88"/>
    <w:rsid w:val="005C401D"/>
    <w:rsid w:val="005C4C23"/>
    <w:rsid w:val="005C4FC9"/>
    <w:rsid w:val="005C6CFC"/>
    <w:rsid w:val="005C7F62"/>
    <w:rsid w:val="005D2A2C"/>
    <w:rsid w:val="005D712B"/>
    <w:rsid w:val="005E0C38"/>
    <w:rsid w:val="005E13E2"/>
    <w:rsid w:val="005E47A9"/>
    <w:rsid w:val="005E688D"/>
    <w:rsid w:val="005E6CE5"/>
    <w:rsid w:val="005E709E"/>
    <w:rsid w:val="005E7502"/>
    <w:rsid w:val="005F276D"/>
    <w:rsid w:val="006001A7"/>
    <w:rsid w:val="00600C56"/>
    <w:rsid w:val="00600ED8"/>
    <w:rsid w:val="0060157B"/>
    <w:rsid w:val="00601C79"/>
    <w:rsid w:val="00603D3C"/>
    <w:rsid w:val="0060616F"/>
    <w:rsid w:val="006069B7"/>
    <w:rsid w:val="0060740C"/>
    <w:rsid w:val="006100EB"/>
    <w:rsid w:val="006177F6"/>
    <w:rsid w:val="00620B38"/>
    <w:rsid w:val="00621D09"/>
    <w:rsid w:val="006225B2"/>
    <w:rsid w:val="00623C46"/>
    <w:rsid w:val="00623E6F"/>
    <w:rsid w:val="006245DE"/>
    <w:rsid w:val="006250EB"/>
    <w:rsid w:val="006253F7"/>
    <w:rsid w:val="00625B7C"/>
    <w:rsid w:val="006301C9"/>
    <w:rsid w:val="0063195A"/>
    <w:rsid w:val="006324F8"/>
    <w:rsid w:val="006325C9"/>
    <w:rsid w:val="0063270F"/>
    <w:rsid w:val="00632F5E"/>
    <w:rsid w:val="0063406F"/>
    <w:rsid w:val="00635018"/>
    <w:rsid w:val="00636A2A"/>
    <w:rsid w:val="00636ECC"/>
    <w:rsid w:val="006401FE"/>
    <w:rsid w:val="00640390"/>
    <w:rsid w:val="00640599"/>
    <w:rsid w:val="006405CA"/>
    <w:rsid w:val="00641F19"/>
    <w:rsid w:val="006454F1"/>
    <w:rsid w:val="006509AE"/>
    <w:rsid w:val="00651554"/>
    <w:rsid w:val="0065399E"/>
    <w:rsid w:val="006556BB"/>
    <w:rsid w:val="00655997"/>
    <w:rsid w:val="0065696B"/>
    <w:rsid w:val="00656BD2"/>
    <w:rsid w:val="006570B8"/>
    <w:rsid w:val="0065716F"/>
    <w:rsid w:val="006600ED"/>
    <w:rsid w:val="00660247"/>
    <w:rsid w:val="00661481"/>
    <w:rsid w:val="00661878"/>
    <w:rsid w:val="00661B9C"/>
    <w:rsid w:val="00662349"/>
    <w:rsid w:val="006623FD"/>
    <w:rsid w:val="00665FF3"/>
    <w:rsid w:val="006723C2"/>
    <w:rsid w:val="00672715"/>
    <w:rsid w:val="006740CD"/>
    <w:rsid w:val="00674A7A"/>
    <w:rsid w:val="006758BD"/>
    <w:rsid w:val="0067650B"/>
    <w:rsid w:val="006814AC"/>
    <w:rsid w:val="00681F3D"/>
    <w:rsid w:val="00683986"/>
    <w:rsid w:val="00685920"/>
    <w:rsid w:val="00686DB3"/>
    <w:rsid w:val="00690A6C"/>
    <w:rsid w:val="006922FD"/>
    <w:rsid w:val="00694C72"/>
    <w:rsid w:val="006A0156"/>
    <w:rsid w:val="006A06C7"/>
    <w:rsid w:val="006A3934"/>
    <w:rsid w:val="006A4CE6"/>
    <w:rsid w:val="006A6389"/>
    <w:rsid w:val="006A756C"/>
    <w:rsid w:val="006B00B7"/>
    <w:rsid w:val="006B0136"/>
    <w:rsid w:val="006B023B"/>
    <w:rsid w:val="006B16C4"/>
    <w:rsid w:val="006B1D1B"/>
    <w:rsid w:val="006B1D6E"/>
    <w:rsid w:val="006B6AEB"/>
    <w:rsid w:val="006C05A8"/>
    <w:rsid w:val="006C255C"/>
    <w:rsid w:val="006C28A3"/>
    <w:rsid w:val="006C32A9"/>
    <w:rsid w:val="006C4A79"/>
    <w:rsid w:val="006C7061"/>
    <w:rsid w:val="006C7204"/>
    <w:rsid w:val="006D0C1C"/>
    <w:rsid w:val="006D4C7B"/>
    <w:rsid w:val="006D4FB5"/>
    <w:rsid w:val="006D5641"/>
    <w:rsid w:val="006D7D8C"/>
    <w:rsid w:val="006D7F23"/>
    <w:rsid w:val="006E1B61"/>
    <w:rsid w:val="006E2035"/>
    <w:rsid w:val="006E28D0"/>
    <w:rsid w:val="006E2B32"/>
    <w:rsid w:val="006E2D30"/>
    <w:rsid w:val="006E316A"/>
    <w:rsid w:val="006E39D0"/>
    <w:rsid w:val="006E3B7E"/>
    <w:rsid w:val="006E4644"/>
    <w:rsid w:val="006E4728"/>
    <w:rsid w:val="006E6461"/>
    <w:rsid w:val="006E65A2"/>
    <w:rsid w:val="006E77EC"/>
    <w:rsid w:val="006E79C7"/>
    <w:rsid w:val="006F01DA"/>
    <w:rsid w:val="006F01FB"/>
    <w:rsid w:val="006F0C24"/>
    <w:rsid w:val="006F1FA9"/>
    <w:rsid w:val="006F4837"/>
    <w:rsid w:val="006F4BC0"/>
    <w:rsid w:val="006F5903"/>
    <w:rsid w:val="007006B7"/>
    <w:rsid w:val="007012AA"/>
    <w:rsid w:val="00702714"/>
    <w:rsid w:val="00702EB2"/>
    <w:rsid w:val="00704015"/>
    <w:rsid w:val="007047E2"/>
    <w:rsid w:val="00707A85"/>
    <w:rsid w:val="007100B7"/>
    <w:rsid w:val="00710240"/>
    <w:rsid w:val="00712807"/>
    <w:rsid w:val="0071526A"/>
    <w:rsid w:val="00715A5A"/>
    <w:rsid w:val="00715F02"/>
    <w:rsid w:val="007200AA"/>
    <w:rsid w:val="00720CA7"/>
    <w:rsid w:val="00721CDD"/>
    <w:rsid w:val="00721CF0"/>
    <w:rsid w:val="0072235F"/>
    <w:rsid w:val="00722729"/>
    <w:rsid w:val="00725A95"/>
    <w:rsid w:val="00730B46"/>
    <w:rsid w:val="00731AEE"/>
    <w:rsid w:val="00731F5F"/>
    <w:rsid w:val="007335FD"/>
    <w:rsid w:val="00733839"/>
    <w:rsid w:val="00733B62"/>
    <w:rsid w:val="00734325"/>
    <w:rsid w:val="007345BF"/>
    <w:rsid w:val="00736B91"/>
    <w:rsid w:val="00736CCF"/>
    <w:rsid w:val="00737AF2"/>
    <w:rsid w:val="007453DF"/>
    <w:rsid w:val="0074685F"/>
    <w:rsid w:val="00746873"/>
    <w:rsid w:val="00746AE6"/>
    <w:rsid w:val="00750213"/>
    <w:rsid w:val="0075024A"/>
    <w:rsid w:val="00750A5D"/>
    <w:rsid w:val="00754AC1"/>
    <w:rsid w:val="00756F4B"/>
    <w:rsid w:val="0076113D"/>
    <w:rsid w:val="00762363"/>
    <w:rsid w:val="0076267B"/>
    <w:rsid w:val="0077122F"/>
    <w:rsid w:val="007731D2"/>
    <w:rsid w:val="00773EBF"/>
    <w:rsid w:val="00774464"/>
    <w:rsid w:val="007758CE"/>
    <w:rsid w:val="0077700D"/>
    <w:rsid w:val="007806B8"/>
    <w:rsid w:val="00780860"/>
    <w:rsid w:val="00781856"/>
    <w:rsid w:val="00782314"/>
    <w:rsid w:val="00782AEB"/>
    <w:rsid w:val="007840AD"/>
    <w:rsid w:val="00784B47"/>
    <w:rsid w:val="00792218"/>
    <w:rsid w:val="007943D0"/>
    <w:rsid w:val="00794E64"/>
    <w:rsid w:val="00795576"/>
    <w:rsid w:val="007957FE"/>
    <w:rsid w:val="00795A73"/>
    <w:rsid w:val="00797542"/>
    <w:rsid w:val="00797C10"/>
    <w:rsid w:val="007A05F0"/>
    <w:rsid w:val="007A0A9C"/>
    <w:rsid w:val="007A33E6"/>
    <w:rsid w:val="007A3DD3"/>
    <w:rsid w:val="007A46AF"/>
    <w:rsid w:val="007A49CE"/>
    <w:rsid w:val="007A67C7"/>
    <w:rsid w:val="007A6E84"/>
    <w:rsid w:val="007A7715"/>
    <w:rsid w:val="007B1D35"/>
    <w:rsid w:val="007B6516"/>
    <w:rsid w:val="007B794B"/>
    <w:rsid w:val="007C16DD"/>
    <w:rsid w:val="007C3727"/>
    <w:rsid w:val="007C416A"/>
    <w:rsid w:val="007C4E00"/>
    <w:rsid w:val="007C5931"/>
    <w:rsid w:val="007C60FF"/>
    <w:rsid w:val="007C7018"/>
    <w:rsid w:val="007C73A8"/>
    <w:rsid w:val="007C7686"/>
    <w:rsid w:val="007D0268"/>
    <w:rsid w:val="007D0827"/>
    <w:rsid w:val="007D17E3"/>
    <w:rsid w:val="007D2FAD"/>
    <w:rsid w:val="007D30CA"/>
    <w:rsid w:val="007D6059"/>
    <w:rsid w:val="007D6FF4"/>
    <w:rsid w:val="007D7128"/>
    <w:rsid w:val="007D7789"/>
    <w:rsid w:val="007E1354"/>
    <w:rsid w:val="007E1CCF"/>
    <w:rsid w:val="007E444E"/>
    <w:rsid w:val="007E61C2"/>
    <w:rsid w:val="007F0567"/>
    <w:rsid w:val="007F0A92"/>
    <w:rsid w:val="007F16A1"/>
    <w:rsid w:val="007F292B"/>
    <w:rsid w:val="007F43DD"/>
    <w:rsid w:val="008028BE"/>
    <w:rsid w:val="008034FD"/>
    <w:rsid w:val="008037BF"/>
    <w:rsid w:val="00804064"/>
    <w:rsid w:val="00804A31"/>
    <w:rsid w:val="008056B7"/>
    <w:rsid w:val="00807698"/>
    <w:rsid w:val="00807A89"/>
    <w:rsid w:val="0081125C"/>
    <w:rsid w:val="00812E7D"/>
    <w:rsid w:val="00812E89"/>
    <w:rsid w:val="00813B29"/>
    <w:rsid w:val="00813C56"/>
    <w:rsid w:val="00814380"/>
    <w:rsid w:val="0081574A"/>
    <w:rsid w:val="00815898"/>
    <w:rsid w:val="00815DE1"/>
    <w:rsid w:val="00820425"/>
    <w:rsid w:val="00820453"/>
    <w:rsid w:val="0082170B"/>
    <w:rsid w:val="008228A4"/>
    <w:rsid w:val="00823421"/>
    <w:rsid w:val="00825811"/>
    <w:rsid w:val="00825E9A"/>
    <w:rsid w:val="00830C65"/>
    <w:rsid w:val="0083287A"/>
    <w:rsid w:val="00833402"/>
    <w:rsid w:val="00836975"/>
    <w:rsid w:val="008372CC"/>
    <w:rsid w:val="0084012C"/>
    <w:rsid w:val="00841088"/>
    <w:rsid w:val="00845929"/>
    <w:rsid w:val="008475A5"/>
    <w:rsid w:val="008506E0"/>
    <w:rsid w:val="00850E66"/>
    <w:rsid w:val="00850FE6"/>
    <w:rsid w:val="00851EC5"/>
    <w:rsid w:val="00851F46"/>
    <w:rsid w:val="008522C8"/>
    <w:rsid w:val="00853DAF"/>
    <w:rsid w:val="0085495A"/>
    <w:rsid w:val="00854BBC"/>
    <w:rsid w:val="0085673F"/>
    <w:rsid w:val="00856CF3"/>
    <w:rsid w:val="00860F3E"/>
    <w:rsid w:val="00864BC8"/>
    <w:rsid w:val="00865718"/>
    <w:rsid w:val="0086591E"/>
    <w:rsid w:val="00867336"/>
    <w:rsid w:val="00867795"/>
    <w:rsid w:val="00872A0F"/>
    <w:rsid w:val="00873DA0"/>
    <w:rsid w:val="00874A77"/>
    <w:rsid w:val="00884110"/>
    <w:rsid w:val="00884123"/>
    <w:rsid w:val="008844A1"/>
    <w:rsid w:val="00886233"/>
    <w:rsid w:val="008869D1"/>
    <w:rsid w:val="00892014"/>
    <w:rsid w:val="00894560"/>
    <w:rsid w:val="008947D5"/>
    <w:rsid w:val="008A37D5"/>
    <w:rsid w:val="008A4032"/>
    <w:rsid w:val="008A5DDD"/>
    <w:rsid w:val="008A70DC"/>
    <w:rsid w:val="008A72CC"/>
    <w:rsid w:val="008B00FB"/>
    <w:rsid w:val="008B293A"/>
    <w:rsid w:val="008B395E"/>
    <w:rsid w:val="008B4C50"/>
    <w:rsid w:val="008B5FD0"/>
    <w:rsid w:val="008C281B"/>
    <w:rsid w:val="008C3AC8"/>
    <w:rsid w:val="008C593C"/>
    <w:rsid w:val="008C5EDA"/>
    <w:rsid w:val="008C6364"/>
    <w:rsid w:val="008C7736"/>
    <w:rsid w:val="008D1482"/>
    <w:rsid w:val="008D1629"/>
    <w:rsid w:val="008D28AA"/>
    <w:rsid w:val="008D3324"/>
    <w:rsid w:val="008D4B00"/>
    <w:rsid w:val="008D4D37"/>
    <w:rsid w:val="008D575A"/>
    <w:rsid w:val="008D6FB3"/>
    <w:rsid w:val="008E0579"/>
    <w:rsid w:val="008E1987"/>
    <w:rsid w:val="008E21ED"/>
    <w:rsid w:val="008E32B3"/>
    <w:rsid w:val="008E384B"/>
    <w:rsid w:val="008E4C47"/>
    <w:rsid w:val="008E754E"/>
    <w:rsid w:val="008F1FE4"/>
    <w:rsid w:val="008F20C6"/>
    <w:rsid w:val="008F213E"/>
    <w:rsid w:val="008F548F"/>
    <w:rsid w:val="008F5D61"/>
    <w:rsid w:val="008F69B2"/>
    <w:rsid w:val="008F70F7"/>
    <w:rsid w:val="008F7569"/>
    <w:rsid w:val="0090366B"/>
    <w:rsid w:val="00904463"/>
    <w:rsid w:val="00905021"/>
    <w:rsid w:val="009065F1"/>
    <w:rsid w:val="00906C70"/>
    <w:rsid w:val="00907085"/>
    <w:rsid w:val="00907FF3"/>
    <w:rsid w:val="00911B29"/>
    <w:rsid w:val="00912EF8"/>
    <w:rsid w:val="00916603"/>
    <w:rsid w:val="00917A9C"/>
    <w:rsid w:val="00920DE5"/>
    <w:rsid w:val="00921751"/>
    <w:rsid w:val="009227F6"/>
    <w:rsid w:val="009229AA"/>
    <w:rsid w:val="009231CA"/>
    <w:rsid w:val="009238F3"/>
    <w:rsid w:val="009258EE"/>
    <w:rsid w:val="0093081D"/>
    <w:rsid w:val="00934334"/>
    <w:rsid w:val="00935393"/>
    <w:rsid w:val="009374DD"/>
    <w:rsid w:val="00940EBF"/>
    <w:rsid w:val="009419CB"/>
    <w:rsid w:val="00943715"/>
    <w:rsid w:val="0094372A"/>
    <w:rsid w:val="00943BF2"/>
    <w:rsid w:val="00944858"/>
    <w:rsid w:val="00946EE1"/>
    <w:rsid w:val="00947333"/>
    <w:rsid w:val="0095226F"/>
    <w:rsid w:val="00952272"/>
    <w:rsid w:val="009531F7"/>
    <w:rsid w:val="00961FA1"/>
    <w:rsid w:val="00963629"/>
    <w:rsid w:val="00971027"/>
    <w:rsid w:val="009717A4"/>
    <w:rsid w:val="00974AEB"/>
    <w:rsid w:val="009779FB"/>
    <w:rsid w:val="00980916"/>
    <w:rsid w:val="00980F7C"/>
    <w:rsid w:val="009816E1"/>
    <w:rsid w:val="00982EFE"/>
    <w:rsid w:val="00985114"/>
    <w:rsid w:val="00985A8D"/>
    <w:rsid w:val="00985BC3"/>
    <w:rsid w:val="00985EDB"/>
    <w:rsid w:val="009867AD"/>
    <w:rsid w:val="00986B0E"/>
    <w:rsid w:val="009901DB"/>
    <w:rsid w:val="00991B0F"/>
    <w:rsid w:val="009937D4"/>
    <w:rsid w:val="00993D94"/>
    <w:rsid w:val="0099645C"/>
    <w:rsid w:val="009965ED"/>
    <w:rsid w:val="0099678F"/>
    <w:rsid w:val="00996EFA"/>
    <w:rsid w:val="009979CF"/>
    <w:rsid w:val="00997A03"/>
    <w:rsid w:val="009A3DCD"/>
    <w:rsid w:val="009A4BAD"/>
    <w:rsid w:val="009A55EE"/>
    <w:rsid w:val="009B1A77"/>
    <w:rsid w:val="009B2237"/>
    <w:rsid w:val="009B24D0"/>
    <w:rsid w:val="009B3220"/>
    <w:rsid w:val="009B44EE"/>
    <w:rsid w:val="009B51BB"/>
    <w:rsid w:val="009B6297"/>
    <w:rsid w:val="009B67D5"/>
    <w:rsid w:val="009C2C22"/>
    <w:rsid w:val="009C3029"/>
    <w:rsid w:val="009C3C86"/>
    <w:rsid w:val="009C59F4"/>
    <w:rsid w:val="009D1599"/>
    <w:rsid w:val="009D32FF"/>
    <w:rsid w:val="009D5497"/>
    <w:rsid w:val="009D7AA0"/>
    <w:rsid w:val="009E22F4"/>
    <w:rsid w:val="009E34CD"/>
    <w:rsid w:val="009E4901"/>
    <w:rsid w:val="009E55CD"/>
    <w:rsid w:val="009E5CCF"/>
    <w:rsid w:val="009E6537"/>
    <w:rsid w:val="009E7397"/>
    <w:rsid w:val="009F0368"/>
    <w:rsid w:val="009F14C7"/>
    <w:rsid w:val="009F4870"/>
    <w:rsid w:val="009F6B46"/>
    <w:rsid w:val="009F6D83"/>
    <w:rsid w:val="00A00C0D"/>
    <w:rsid w:val="00A02897"/>
    <w:rsid w:val="00A032AF"/>
    <w:rsid w:val="00A03897"/>
    <w:rsid w:val="00A03B16"/>
    <w:rsid w:val="00A03D72"/>
    <w:rsid w:val="00A069CD"/>
    <w:rsid w:val="00A06E4C"/>
    <w:rsid w:val="00A079CF"/>
    <w:rsid w:val="00A10869"/>
    <w:rsid w:val="00A13C0F"/>
    <w:rsid w:val="00A20773"/>
    <w:rsid w:val="00A20C1B"/>
    <w:rsid w:val="00A2132B"/>
    <w:rsid w:val="00A23CB5"/>
    <w:rsid w:val="00A2423D"/>
    <w:rsid w:val="00A24FE6"/>
    <w:rsid w:val="00A2703A"/>
    <w:rsid w:val="00A30324"/>
    <w:rsid w:val="00A30FE5"/>
    <w:rsid w:val="00A31F36"/>
    <w:rsid w:val="00A33E77"/>
    <w:rsid w:val="00A35239"/>
    <w:rsid w:val="00A37F0D"/>
    <w:rsid w:val="00A4019D"/>
    <w:rsid w:val="00A4150C"/>
    <w:rsid w:val="00A431C2"/>
    <w:rsid w:val="00A443D9"/>
    <w:rsid w:val="00A44BA4"/>
    <w:rsid w:val="00A450AE"/>
    <w:rsid w:val="00A477E2"/>
    <w:rsid w:val="00A524B6"/>
    <w:rsid w:val="00A54D53"/>
    <w:rsid w:val="00A572F1"/>
    <w:rsid w:val="00A576A5"/>
    <w:rsid w:val="00A57FF0"/>
    <w:rsid w:val="00A60022"/>
    <w:rsid w:val="00A602A9"/>
    <w:rsid w:val="00A6197E"/>
    <w:rsid w:val="00A61DCA"/>
    <w:rsid w:val="00A651C1"/>
    <w:rsid w:val="00A65716"/>
    <w:rsid w:val="00A65CB5"/>
    <w:rsid w:val="00A679AE"/>
    <w:rsid w:val="00A71BFC"/>
    <w:rsid w:val="00A772B6"/>
    <w:rsid w:val="00A77367"/>
    <w:rsid w:val="00A80420"/>
    <w:rsid w:val="00A8068A"/>
    <w:rsid w:val="00A83028"/>
    <w:rsid w:val="00A83F1C"/>
    <w:rsid w:val="00A840B0"/>
    <w:rsid w:val="00A84F6A"/>
    <w:rsid w:val="00A87082"/>
    <w:rsid w:val="00A90B98"/>
    <w:rsid w:val="00A93AE8"/>
    <w:rsid w:val="00A96E8F"/>
    <w:rsid w:val="00A97043"/>
    <w:rsid w:val="00A97E52"/>
    <w:rsid w:val="00AA07F9"/>
    <w:rsid w:val="00AA13E8"/>
    <w:rsid w:val="00AA1C82"/>
    <w:rsid w:val="00AA252A"/>
    <w:rsid w:val="00AA40DE"/>
    <w:rsid w:val="00AA4793"/>
    <w:rsid w:val="00AA5677"/>
    <w:rsid w:val="00AA6030"/>
    <w:rsid w:val="00AB0445"/>
    <w:rsid w:val="00AB0B85"/>
    <w:rsid w:val="00AB0F90"/>
    <w:rsid w:val="00AB2100"/>
    <w:rsid w:val="00AB369D"/>
    <w:rsid w:val="00AB48D2"/>
    <w:rsid w:val="00AB4F7A"/>
    <w:rsid w:val="00AB74E1"/>
    <w:rsid w:val="00AB7F09"/>
    <w:rsid w:val="00AC0662"/>
    <w:rsid w:val="00AC0ED7"/>
    <w:rsid w:val="00AC3680"/>
    <w:rsid w:val="00AC381A"/>
    <w:rsid w:val="00AC46F7"/>
    <w:rsid w:val="00AC6250"/>
    <w:rsid w:val="00AD4883"/>
    <w:rsid w:val="00AD743D"/>
    <w:rsid w:val="00AD7AEE"/>
    <w:rsid w:val="00AE4457"/>
    <w:rsid w:val="00AE4630"/>
    <w:rsid w:val="00AE47A4"/>
    <w:rsid w:val="00AE4B65"/>
    <w:rsid w:val="00AE4DC1"/>
    <w:rsid w:val="00AE690E"/>
    <w:rsid w:val="00AF01D6"/>
    <w:rsid w:val="00AF1390"/>
    <w:rsid w:val="00AF624B"/>
    <w:rsid w:val="00AF64E3"/>
    <w:rsid w:val="00B02784"/>
    <w:rsid w:val="00B042B2"/>
    <w:rsid w:val="00B0490D"/>
    <w:rsid w:val="00B054CA"/>
    <w:rsid w:val="00B05C76"/>
    <w:rsid w:val="00B07B4A"/>
    <w:rsid w:val="00B1630E"/>
    <w:rsid w:val="00B1668F"/>
    <w:rsid w:val="00B16C84"/>
    <w:rsid w:val="00B17DE7"/>
    <w:rsid w:val="00B202B4"/>
    <w:rsid w:val="00B20B91"/>
    <w:rsid w:val="00B26839"/>
    <w:rsid w:val="00B27E27"/>
    <w:rsid w:val="00B33466"/>
    <w:rsid w:val="00B34007"/>
    <w:rsid w:val="00B370DB"/>
    <w:rsid w:val="00B40903"/>
    <w:rsid w:val="00B427DA"/>
    <w:rsid w:val="00B427DD"/>
    <w:rsid w:val="00B43C9E"/>
    <w:rsid w:val="00B4676F"/>
    <w:rsid w:val="00B47E9F"/>
    <w:rsid w:val="00B511EB"/>
    <w:rsid w:val="00B51700"/>
    <w:rsid w:val="00B51E5D"/>
    <w:rsid w:val="00B5345D"/>
    <w:rsid w:val="00B5479F"/>
    <w:rsid w:val="00B56F77"/>
    <w:rsid w:val="00B601EF"/>
    <w:rsid w:val="00B60C43"/>
    <w:rsid w:val="00B61AB4"/>
    <w:rsid w:val="00B61FE2"/>
    <w:rsid w:val="00B63B42"/>
    <w:rsid w:val="00B63B50"/>
    <w:rsid w:val="00B641E5"/>
    <w:rsid w:val="00B6420B"/>
    <w:rsid w:val="00B64B6A"/>
    <w:rsid w:val="00B64BDC"/>
    <w:rsid w:val="00B662D1"/>
    <w:rsid w:val="00B665FB"/>
    <w:rsid w:val="00B66BE3"/>
    <w:rsid w:val="00B6735F"/>
    <w:rsid w:val="00B714EA"/>
    <w:rsid w:val="00B716CA"/>
    <w:rsid w:val="00B729F0"/>
    <w:rsid w:val="00B74EE8"/>
    <w:rsid w:val="00B75782"/>
    <w:rsid w:val="00B75E2F"/>
    <w:rsid w:val="00B768DC"/>
    <w:rsid w:val="00B77806"/>
    <w:rsid w:val="00B80220"/>
    <w:rsid w:val="00B82FCB"/>
    <w:rsid w:val="00B85B93"/>
    <w:rsid w:val="00B86B4A"/>
    <w:rsid w:val="00B9012C"/>
    <w:rsid w:val="00B90BB4"/>
    <w:rsid w:val="00B92CCC"/>
    <w:rsid w:val="00B934C4"/>
    <w:rsid w:val="00B934F9"/>
    <w:rsid w:val="00B94243"/>
    <w:rsid w:val="00B952B3"/>
    <w:rsid w:val="00B9620D"/>
    <w:rsid w:val="00B96870"/>
    <w:rsid w:val="00B969DE"/>
    <w:rsid w:val="00B971C2"/>
    <w:rsid w:val="00B971E1"/>
    <w:rsid w:val="00BA1CC8"/>
    <w:rsid w:val="00BA2510"/>
    <w:rsid w:val="00BA26B5"/>
    <w:rsid w:val="00BA2E6F"/>
    <w:rsid w:val="00BA4D13"/>
    <w:rsid w:val="00BA6E76"/>
    <w:rsid w:val="00BA7087"/>
    <w:rsid w:val="00BB2786"/>
    <w:rsid w:val="00BB298D"/>
    <w:rsid w:val="00BB368D"/>
    <w:rsid w:val="00BB39F3"/>
    <w:rsid w:val="00BB698D"/>
    <w:rsid w:val="00BB6E3D"/>
    <w:rsid w:val="00BB7D03"/>
    <w:rsid w:val="00BC010B"/>
    <w:rsid w:val="00BC09E1"/>
    <w:rsid w:val="00BC1FE5"/>
    <w:rsid w:val="00BC2F8F"/>
    <w:rsid w:val="00BC454A"/>
    <w:rsid w:val="00BC5656"/>
    <w:rsid w:val="00BC6452"/>
    <w:rsid w:val="00BD0806"/>
    <w:rsid w:val="00BD2828"/>
    <w:rsid w:val="00BD4BEB"/>
    <w:rsid w:val="00BD5C6F"/>
    <w:rsid w:val="00BE56A5"/>
    <w:rsid w:val="00BF0012"/>
    <w:rsid w:val="00BF105E"/>
    <w:rsid w:val="00BF5CE2"/>
    <w:rsid w:val="00BF7134"/>
    <w:rsid w:val="00BF7147"/>
    <w:rsid w:val="00BF75A4"/>
    <w:rsid w:val="00C007B7"/>
    <w:rsid w:val="00C00A90"/>
    <w:rsid w:val="00C00C66"/>
    <w:rsid w:val="00C04075"/>
    <w:rsid w:val="00C06E09"/>
    <w:rsid w:val="00C072AD"/>
    <w:rsid w:val="00C11112"/>
    <w:rsid w:val="00C112D2"/>
    <w:rsid w:val="00C12557"/>
    <w:rsid w:val="00C12F44"/>
    <w:rsid w:val="00C13E21"/>
    <w:rsid w:val="00C14362"/>
    <w:rsid w:val="00C14378"/>
    <w:rsid w:val="00C14DFB"/>
    <w:rsid w:val="00C1502E"/>
    <w:rsid w:val="00C15301"/>
    <w:rsid w:val="00C20E33"/>
    <w:rsid w:val="00C2230B"/>
    <w:rsid w:val="00C23754"/>
    <w:rsid w:val="00C26130"/>
    <w:rsid w:val="00C27123"/>
    <w:rsid w:val="00C30928"/>
    <w:rsid w:val="00C30FE4"/>
    <w:rsid w:val="00C3119D"/>
    <w:rsid w:val="00C3154C"/>
    <w:rsid w:val="00C3335C"/>
    <w:rsid w:val="00C34978"/>
    <w:rsid w:val="00C369A6"/>
    <w:rsid w:val="00C37A3C"/>
    <w:rsid w:val="00C40047"/>
    <w:rsid w:val="00C4070D"/>
    <w:rsid w:val="00C408F0"/>
    <w:rsid w:val="00C40DE7"/>
    <w:rsid w:val="00C42ECE"/>
    <w:rsid w:val="00C43F83"/>
    <w:rsid w:val="00C447DC"/>
    <w:rsid w:val="00C44ABA"/>
    <w:rsid w:val="00C44D33"/>
    <w:rsid w:val="00C44E37"/>
    <w:rsid w:val="00C45B99"/>
    <w:rsid w:val="00C466D7"/>
    <w:rsid w:val="00C51079"/>
    <w:rsid w:val="00C51134"/>
    <w:rsid w:val="00C5145C"/>
    <w:rsid w:val="00C51480"/>
    <w:rsid w:val="00C52D67"/>
    <w:rsid w:val="00C534E4"/>
    <w:rsid w:val="00C56548"/>
    <w:rsid w:val="00C56DE8"/>
    <w:rsid w:val="00C57EE4"/>
    <w:rsid w:val="00C613FC"/>
    <w:rsid w:val="00C61947"/>
    <w:rsid w:val="00C620FB"/>
    <w:rsid w:val="00C636AB"/>
    <w:rsid w:val="00C679AA"/>
    <w:rsid w:val="00C706A9"/>
    <w:rsid w:val="00C70A50"/>
    <w:rsid w:val="00C70C6A"/>
    <w:rsid w:val="00C719F3"/>
    <w:rsid w:val="00C71D84"/>
    <w:rsid w:val="00C726E4"/>
    <w:rsid w:val="00C73C69"/>
    <w:rsid w:val="00C7418D"/>
    <w:rsid w:val="00C74377"/>
    <w:rsid w:val="00C76B31"/>
    <w:rsid w:val="00C76D52"/>
    <w:rsid w:val="00C77080"/>
    <w:rsid w:val="00C80349"/>
    <w:rsid w:val="00C81157"/>
    <w:rsid w:val="00C81BDF"/>
    <w:rsid w:val="00C82681"/>
    <w:rsid w:val="00C848B2"/>
    <w:rsid w:val="00C85048"/>
    <w:rsid w:val="00C872F5"/>
    <w:rsid w:val="00C904E4"/>
    <w:rsid w:val="00C921FB"/>
    <w:rsid w:val="00C92BA9"/>
    <w:rsid w:val="00C92E85"/>
    <w:rsid w:val="00C9489D"/>
    <w:rsid w:val="00C95C78"/>
    <w:rsid w:val="00C95D35"/>
    <w:rsid w:val="00C97A45"/>
    <w:rsid w:val="00CA1340"/>
    <w:rsid w:val="00CA6521"/>
    <w:rsid w:val="00CA76D1"/>
    <w:rsid w:val="00CA7A9E"/>
    <w:rsid w:val="00CB08B1"/>
    <w:rsid w:val="00CB168D"/>
    <w:rsid w:val="00CB3A54"/>
    <w:rsid w:val="00CC192C"/>
    <w:rsid w:val="00CC2388"/>
    <w:rsid w:val="00CC2EF7"/>
    <w:rsid w:val="00CC3940"/>
    <w:rsid w:val="00CC4C12"/>
    <w:rsid w:val="00CC60DB"/>
    <w:rsid w:val="00CC7B10"/>
    <w:rsid w:val="00CD15CB"/>
    <w:rsid w:val="00CD26F7"/>
    <w:rsid w:val="00CD28DC"/>
    <w:rsid w:val="00CD3FC4"/>
    <w:rsid w:val="00CD48B6"/>
    <w:rsid w:val="00CD689C"/>
    <w:rsid w:val="00CD77DD"/>
    <w:rsid w:val="00CE0ED9"/>
    <w:rsid w:val="00CE1318"/>
    <w:rsid w:val="00CE29D8"/>
    <w:rsid w:val="00CE2B98"/>
    <w:rsid w:val="00CE489B"/>
    <w:rsid w:val="00CE49DD"/>
    <w:rsid w:val="00CE6490"/>
    <w:rsid w:val="00CE7DFD"/>
    <w:rsid w:val="00CF0196"/>
    <w:rsid w:val="00CF0198"/>
    <w:rsid w:val="00CF07AE"/>
    <w:rsid w:val="00CF29E1"/>
    <w:rsid w:val="00CF43CB"/>
    <w:rsid w:val="00CF44A7"/>
    <w:rsid w:val="00CF48F8"/>
    <w:rsid w:val="00CF6C87"/>
    <w:rsid w:val="00D03A72"/>
    <w:rsid w:val="00D05210"/>
    <w:rsid w:val="00D05BB8"/>
    <w:rsid w:val="00D125DE"/>
    <w:rsid w:val="00D14404"/>
    <w:rsid w:val="00D15EC5"/>
    <w:rsid w:val="00D20793"/>
    <w:rsid w:val="00D20D9C"/>
    <w:rsid w:val="00D2139D"/>
    <w:rsid w:val="00D231C6"/>
    <w:rsid w:val="00D275E4"/>
    <w:rsid w:val="00D30B48"/>
    <w:rsid w:val="00D31508"/>
    <w:rsid w:val="00D34D80"/>
    <w:rsid w:val="00D34FC6"/>
    <w:rsid w:val="00D35126"/>
    <w:rsid w:val="00D37578"/>
    <w:rsid w:val="00D37F2F"/>
    <w:rsid w:val="00D41941"/>
    <w:rsid w:val="00D44BB0"/>
    <w:rsid w:val="00D47391"/>
    <w:rsid w:val="00D5000A"/>
    <w:rsid w:val="00D50C22"/>
    <w:rsid w:val="00D52A31"/>
    <w:rsid w:val="00D53F1C"/>
    <w:rsid w:val="00D55010"/>
    <w:rsid w:val="00D61C7D"/>
    <w:rsid w:val="00D625B6"/>
    <w:rsid w:val="00D64299"/>
    <w:rsid w:val="00D6522D"/>
    <w:rsid w:val="00D6714C"/>
    <w:rsid w:val="00D6760A"/>
    <w:rsid w:val="00D67687"/>
    <w:rsid w:val="00D7269A"/>
    <w:rsid w:val="00D72ABD"/>
    <w:rsid w:val="00D738F2"/>
    <w:rsid w:val="00D76E11"/>
    <w:rsid w:val="00D77A4E"/>
    <w:rsid w:val="00D8378F"/>
    <w:rsid w:val="00D84748"/>
    <w:rsid w:val="00D85CD5"/>
    <w:rsid w:val="00D86119"/>
    <w:rsid w:val="00D93471"/>
    <w:rsid w:val="00D93E86"/>
    <w:rsid w:val="00D94883"/>
    <w:rsid w:val="00D95B76"/>
    <w:rsid w:val="00D97642"/>
    <w:rsid w:val="00DA062B"/>
    <w:rsid w:val="00DA0EE5"/>
    <w:rsid w:val="00DA1EC0"/>
    <w:rsid w:val="00DA2CDC"/>
    <w:rsid w:val="00DA3E5F"/>
    <w:rsid w:val="00DA6A99"/>
    <w:rsid w:val="00DA78F5"/>
    <w:rsid w:val="00DA7AC6"/>
    <w:rsid w:val="00DB0DC9"/>
    <w:rsid w:val="00DB1095"/>
    <w:rsid w:val="00DB11A5"/>
    <w:rsid w:val="00DB1995"/>
    <w:rsid w:val="00DB1D5E"/>
    <w:rsid w:val="00DB3A02"/>
    <w:rsid w:val="00DB69E2"/>
    <w:rsid w:val="00DC1AAA"/>
    <w:rsid w:val="00DC2349"/>
    <w:rsid w:val="00DC2A99"/>
    <w:rsid w:val="00DC2FF0"/>
    <w:rsid w:val="00DC447C"/>
    <w:rsid w:val="00DC4698"/>
    <w:rsid w:val="00DC4CDE"/>
    <w:rsid w:val="00DC6EC6"/>
    <w:rsid w:val="00DD1CC4"/>
    <w:rsid w:val="00DD5417"/>
    <w:rsid w:val="00DE0BB4"/>
    <w:rsid w:val="00DE1106"/>
    <w:rsid w:val="00DE1245"/>
    <w:rsid w:val="00DE23C7"/>
    <w:rsid w:val="00DE4A76"/>
    <w:rsid w:val="00DF1588"/>
    <w:rsid w:val="00E00707"/>
    <w:rsid w:val="00E0078E"/>
    <w:rsid w:val="00E0199A"/>
    <w:rsid w:val="00E036AE"/>
    <w:rsid w:val="00E048D8"/>
    <w:rsid w:val="00E05659"/>
    <w:rsid w:val="00E068C7"/>
    <w:rsid w:val="00E06B59"/>
    <w:rsid w:val="00E10F09"/>
    <w:rsid w:val="00E11405"/>
    <w:rsid w:val="00E11F8C"/>
    <w:rsid w:val="00E1419A"/>
    <w:rsid w:val="00E1566F"/>
    <w:rsid w:val="00E16F59"/>
    <w:rsid w:val="00E16FEF"/>
    <w:rsid w:val="00E21133"/>
    <w:rsid w:val="00E23E12"/>
    <w:rsid w:val="00E240B0"/>
    <w:rsid w:val="00E25007"/>
    <w:rsid w:val="00E25263"/>
    <w:rsid w:val="00E25AC8"/>
    <w:rsid w:val="00E25F46"/>
    <w:rsid w:val="00E275E6"/>
    <w:rsid w:val="00E304F2"/>
    <w:rsid w:val="00E305DA"/>
    <w:rsid w:val="00E31577"/>
    <w:rsid w:val="00E32893"/>
    <w:rsid w:val="00E3487C"/>
    <w:rsid w:val="00E3522C"/>
    <w:rsid w:val="00E37049"/>
    <w:rsid w:val="00E4294C"/>
    <w:rsid w:val="00E443B1"/>
    <w:rsid w:val="00E4486A"/>
    <w:rsid w:val="00E46361"/>
    <w:rsid w:val="00E46E9E"/>
    <w:rsid w:val="00E47E56"/>
    <w:rsid w:val="00E51187"/>
    <w:rsid w:val="00E545B2"/>
    <w:rsid w:val="00E55B2D"/>
    <w:rsid w:val="00E57143"/>
    <w:rsid w:val="00E60872"/>
    <w:rsid w:val="00E60B47"/>
    <w:rsid w:val="00E628FC"/>
    <w:rsid w:val="00E63265"/>
    <w:rsid w:val="00E6413C"/>
    <w:rsid w:val="00E6472F"/>
    <w:rsid w:val="00E64F47"/>
    <w:rsid w:val="00E704F5"/>
    <w:rsid w:val="00E72B46"/>
    <w:rsid w:val="00E73227"/>
    <w:rsid w:val="00E758D8"/>
    <w:rsid w:val="00E76470"/>
    <w:rsid w:val="00E84FFA"/>
    <w:rsid w:val="00E86031"/>
    <w:rsid w:val="00E8762F"/>
    <w:rsid w:val="00E87E01"/>
    <w:rsid w:val="00E935AF"/>
    <w:rsid w:val="00E9750C"/>
    <w:rsid w:val="00E97FEA"/>
    <w:rsid w:val="00EA00A1"/>
    <w:rsid w:val="00EA0932"/>
    <w:rsid w:val="00EA2F47"/>
    <w:rsid w:val="00EA2F4A"/>
    <w:rsid w:val="00EA3383"/>
    <w:rsid w:val="00EA41CB"/>
    <w:rsid w:val="00EA7B2E"/>
    <w:rsid w:val="00EB0662"/>
    <w:rsid w:val="00EB1AA6"/>
    <w:rsid w:val="00EB34AF"/>
    <w:rsid w:val="00EB6380"/>
    <w:rsid w:val="00EB6A32"/>
    <w:rsid w:val="00EC0F23"/>
    <w:rsid w:val="00EC1919"/>
    <w:rsid w:val="00EC3B64"/>
    <w:rsid w:val="00EC491B"/>
    <w:rsid w:val="00EC4AA0"/>
    <w:rsid w:val="00EC4C0C"/>
    <w:rsid w:val="00EC6D21"/>
    <w:rsid w:val="00ED0B8B"/>
    <w:rsid w:val="00ED1F77"/>
    <w:rsid w:val="00EE047F"/>
    <w:rsid w:val="00EE05D6"/>
    <w:rsid w:val="00EE0C9C"/>
    <w:rsid w:val="00EE18D1"/>
    <w:rsid w:val="00EE25DD"/>
    <w:rsid w:val="00EE360D"/>
    <w:rsid w:val="00EE3680"/>
    <w:rsid w:val="00EE3E8A"/>
    <w:rsid w:val="00EE44B1"/>
    <w:rsid w:val="00EE4A88"/>
    <w:rsid w:val="00EF0D99"/>
    <w:rsid w:val="00EF1396"/>
    <w:rsid w:val="00EF4633"/>
    <w:rsid w:val="00EF522E"/>
    <w:rsid w:val="00EF57CE"/>
    <w:rsid w:val="00EF7892"/>
    <w:rsid w:val="00F036B4"/>
    <w:rsid w:val="00F072D3"/>
    <w:rsid w:val="00F07E0A"/>
    <w:rsid w:val="00F07F27"/>
    <w:rsid w:val="00F103B0"/>
    <w:rsid w:val="00F123AD"/>
    <w:rsid w:val="00F1268F"/>
    <w:rsid w:val="00F14DC4"/>
    <w:rsid w:val="00F20119"/>
    <w:rsid w:val="00F20D34"/>
    <w:rsid w:val="00F22494"/>
    <w:rsid w:val="00F23EE6"/>
    <w:rsid w:val="00F24A77"/>
    <w:rsid w:val="00F2509D"/>
    <w:rsid w:val="00F2676A"/>
    <w:rsid w:val="00F26D2E"/>
    <w:rsid w:val="00F27266"/>
    <w:rsid w:val="00F27855"/>
    <w:rsid w:val="00F279F3"/>
    <w:rsid w:val="00F27A7E"/>
    <w:rsid w:val="00F304FB"/>
    <w:rsid w:val="00F30697"/>
    <w:rsid w:val="00F32310"/>
    <w:rsid w:val="00F359F1"/>
    <w:rsid w:val="00F35C7E"/>
    <w:rsid w:val="00F36357"/>
    <w:rsid w:val="00F402CE"/>
    <w:rsid w:val="00F42113"/>
    <w:rsid w:val="00F42814"/>
    <w:rsid w:val="00F453E0"/>
    <w:rsid w:val="00F50350"/>
    <w:rsid w:val="00F549D5"/>
    <w:rsid w:val="00F555A7"/>
    <w:rsid w:val="00F56272"/>
    <w:rsid w:val="00F57B59"/>
    <w:rsid w:val="00F60E3F"/>
    <w:rsid w:val="00F6113B"/>
    <w:rsid w:val="00F61303"/>
    <w:rsid w:val="00F62183"/>
    <w:rsid w:val="00F647CB"/>
    <w:rsid w:val="00F66828"/>
    <w:rsid w:val="00F66FCE"/>
    <w:rsid w:val="00F67311"/>
    <w:rsid w:val="00F674E4"/>
    <w:rsid w:val="00F70925"/>
    <w:rsid w:val="00F70D35"/>
    <w:rsid w:val="00F71607"/>
    <w:rsid w:val="00F727F9"/>
    <w:rsid w:val="00F731ED"/>
    <w:rsid w:val="00F73F05"/>
    <w:rsid w:val="00F7461A"/>
    <w:rsid w:val="00F74BFD"/>
    <w:rsid w:val="00F76D90"/>
    <w:rsid w:val="00F777DF"/>
    <w:rsid w:val="00F77BC8"/>
    <w:rsid w:val="00F83100"/>
    <w:rsid w:val="00F848D1"/>
    <w:rsid w:val="00F85235"/>
    <w:rsid w:val="00F859F2"/>
    <w:rsid w:val="00F85ECD"/>
    <w:rsid w:val="00F86D89"/>
    <w:rsid w:val="00F9090E"/>
    <w:rsid w:val="00F90CF6"/>
    <w:rsid w:val="00F92C2E"/>
    <w:rsid w:val="00F9357D"/>
    <w:rsid w:val="00F95D51"/>
    <w:rsid w:val="00FA04CC"/>
    <w:rsid w:val="00FA0674"/>
    <w:rsid w:val="00FA25EF"/>
    <w:rsid w:val="00FA277D"/>
    <w:rsid w:val="00FA2ABA"/>
    <w:rsid w:val="00FA54B7"/>
    <w:rsid w:val="00FA6277"/>
    <w:rsid w:val="00FA6E0C"/>
    <w:rsid w:val="00FA73AD"/>
    <w:rsid w:val="00FA78DA"/>
    <w:rsid w:val="00FB032D"/>
    <w:rsid w:val="00FB0E93"/>
    <w:rsid w:val="00FB1A73"/>
    <w:rsid w:val="00FB2010"/>
    <w:rsid w:val="00FB548F"/>
    <w:rsid w:val="00FB54BC"/>
    <w:rsid w:val="00FB66DC"/>
    <w:rsid w:val="00FC0EE6"/>
    <w:rsid w:val="00FC1A4F"/>
    <w:rsid w:val="00FC2685"/>
    <w:rsid w:val="00FC4232"/>
    <w:rsid w:val="00FC4E57"/>
    <w:rsid w:val="00FC7C5C"/>
    <w:rsid w:val="00FD063D"/>
    <w:rsid w:val="00FD5094"/>
    <w:rsid w:val="00FD5612"/>
    <w:rsid w:val="00FD6711"/>
    <w:rsid w:val="00FE0B38"/>
    <w:rsid w:val="00FE1638"/>
    <w:rsid w:val="00FE49DC"/>
    <w:rsid w:val="00FE6219"/>
    <w:rsid w:val="00FE6F5F"/>
    <w:rsid w:val="00FF0EE6"/>
    <w:rsid w:val="00FF1CB5"/>
    <w:rsid w:val="00FF2144"/>
    <w:rsid w:val="00FF2D3F"/>
    <w:rsid w:val="00FF41E2"/>
    <w:rsid w:val="00FF4B64"/>
    <w:rsid w:val="00FF537B"/>
    <w:rsid w:val="00FF6CEE"/>
    <w:rsid w:val="00FF754E"/>
    <w:rsid w:val="01192A2B"/>
    <w:rsid w:val="012C608F"/>
    <w:rsid w:val="012D46C6"/>
    <w:rsid w:val="016E1CDF"/>
    <w:rsid w:val="017E65CB"/>
    <w:rsid w:val="01F606A2"/>
    <w:rsid w:val="01FA4D1D"/>
    <w:rsid w:val="02002B50"/>
    <w:rsid w:val="020D035D"/>
    <w:rsid w:val="024651BB"/>
    <w:rsid w:val="025D5424"/>
    <w:rsid w:val="02706611"/>
    <w:rsid w:val="029A67C4"/>
    <w:rsid w:val="029E4937"/>
    <w:rsid w:val="02A222AC"/>
    <w:rsid w:val="02B35025"/>
    <w:rsid w:val="02BA56CC"/>
    <w:rsid w:val="02C50F97"/>
    <w:rsid w:val="02FE07E8"/>
    <w:rsid w:val="033A0C01"/>
    <w:rsid w:val="034F6597"/>
    <w:rsid w:val="0372151F"/>
    <w:rsid w:val="037244D5"/>
    <w:rsid w:val="037C2350"/>
    <w:rsid w:val="03862B59"/>
    <w:rsid w:val="03867CAF"/>
    <w:rsid w:val="03C653AA"/>
    <w:rsid w:val="04545A2F"/>
    <w:rsid w:val="04690F82"/>
    <w:rsid w:val="04C50F5A"/>
    <w:rsid w:val="04F836EE"/>
    <w:rsid w:val="05511339"/>
    <w:rsid w:val="05BE6CE0"/>
    <w:rsid w:val="05DA18DA"/>
    <w:rsid w:val="05DD3639"/>
    <w:rsid w:val="060B6EDA"/>
    <w:rsid w:val="06456558"/>
    <w:rsid w:val="066C1D2D"/>
    <w:rsid w:val="06754184"/>
    <w:rsid w:val="06875BE5"/>
    <w:rsid w:val="068A5A29"/>
    <w:rsid w:val="068D2329"/>
    <w:rsid w:val="06953B42"/>
    <w:rsid w:val="06D22CFF"/>
    <w:rsid w:val="06D46BC4"/>
    <w:rsid w:val="06D74A99"/>
    <w:rsid w:val="06F159DA"/>
    <w:rsid w:val="06F5654E"/>
    <w:rsid w:val="07353711"/>
    <w:rsid w:val="074544B1"/>
    <w:rsid w:val="07720AD8"/>
    <w:rsid w:val="0789354D"/>
    <w:rsid w:val="081C30EF"/>
    <w:rsid w:val="083E652C"/>
    <w:rsid w:val="089060D3"/>
    <w:rsid w:val="08DE65DE"/>
    <w:rsid w:val="08DF7009"/>
    <w:rsid w:val="09392A22"/>
    <w:rsid w:val="09602228"/>
    <w:rsid w:val="099133E8"/>
    <w:rsid w:val="09AA1BAE"/>
    <w:rsid w:val="09AE5650"/>
    <w:rsid w:val="09B27DC5"/>
    <w:rsid w:val="09CF0EE8"/>
    <w:rsid w:val="09ED3707"/>
    <w:rsid w:val="09EE3DB0"/>
    <w:rsid w:val="09EF626D"/>
    <w:rsid w:val="0A0F7F4D"/>
    <w:rsid w:val="0A54758D"/>
    <w:rsid w:val="0A7C7BF9"/>
    <w:rsid w:val="0A7D1C6C"/>
    <w:rsid w:val="0A830649"/>
    <w:rsid w:val="0ABA0984"/>
    <w:rsid w:val="0AD12FE8"/>
    <w:rsid w:val="0AF24E4A"/>
    <w:rsid w:val="0B123253"/>
    <w:rsid w:val="0B151FD7"/>
    <w:rsid w:val="0B7E6D5F"/>
    <w:rsid w:val="0B881B78"/>
    <w:rsid w:val="0BA72479"/>
    <w:rsid w:val="0BA84FD1"/>
    <w:rsid w:val="0BC2307A"/>
    <w:rsid w:val="0BE95961"/>
    <w:rsid w:val="0C2720C0"/>
    <w:rsid w:val="0C3845DB"/>
    <w:rsid w:val="0C525D95"/>
    <w:rsid w:val="0C767B41"/>
    <w:rsid w:val="0C813A52"/>
    <w:rsid w:val="0C88455D"/>
    <w:rsid w:val="0CBD3CF1"/>
    <w:rsid w:val="0CF65721"/>
    <w:rsid w:val="0D122B06"/>
    <w:rsid w:val="0D4A7E8E"/>
    <w:rsid w:val="0D5D78CE"/>
    <w:rsid w:val="0D6F1B15"/>
    <w:rsid w:val="0D75509A"/>
    <w:rsid w:val="0D7C26E4"/>
    <w:rsid w:val="0D853D5A"/>
    <w:rsid w:val="0D8E0541"/>
    <w:rsid w:val="0D985041"/>
    <w:rsid w:val="0D9D470E"/>
    <w:rsid w:val="0DA00366"/>
    <w:rsid w:val="0DA3046B"/>
    <w:rsid w:val="0DAD7291"/>
    <w:rsid w:val="0DC92B68"/>
    <w:rsid w:val="0DD13068"/>
    <w:rsid w:val="0DEB187E"/>
    <w:rsid w:val="0DF53070"/>
    <w:rsid w:val="0DFB1497"/>
    <w:rsid w:val="0DFE46C8"/>
    <w:rsid w:val="0E167192"/>
    <w:rsid w:val="0E3F60C9"/>
    <w:rsid w:val="0E793255"/>
    <w:rsid w:val="0E7E5DFE"/>
    <w:rsid w:val="0EA15A05"/>
    <w:rsid w:val="0EA44246"/>
    <w:rsid w:val="0EDF484F"/>
    <w:rsid w:val="0EF60560"/>
    <w:rsid w:val="0F062878"/>
    <w:rsid w:val="0F286268"/>
    <w:rsid w:val="0FC5064A"/>
    <w:rsid w:val="0FC766D3"/>
    <w:rsid w:val="10091A19"/>
    <w:rsid w:val="101E2D5E"/>
    <w:rsid w:val="103B0C49"/>
    <w:rsid w:val="106530ED"/>
    <w:rsid w:val="10A877B8"/>
    <w:rsid w:val="10B70CD4"/>
    <w:rsid w:val="10B725C9"/>
    <w:rsid w:val="10CF1302"/>
    <w:rsid w:val="10E036F2"/>
    <w:rsid w:val="10E74EFD"/>
    <w:rsid w:val="10F05E07"/>
    <w:rsid w:val="11270310"/>
    <w:rsid w:val="1139443D"/>
    <w:rsid w:val="11635BC7"/>
    <w:rsid w:val="1168658E"/>
    <w:rsid w:val="11767DC8"/>
    <w:rsid w:val="117F4550"/>
    <w:rsid w:val="11991847"/>
    <w:rsid w:val="11A515C4"/>
    <w:rsid w:val="11BC4BB6"/>
    <w:rsid w:val="11BF3026"/>
    <w:rsid w:val="11C2629A"/>
    <w:rsid w:val="11D76D4D"/>
    <w:rsid w:val="11E85D27"/>
    <w:rsid w:val="11F43D97"/>
    <w:rsid w:val="11F62478"/>
    <w:rsid w:val="122B73C2"/>
    <w:rsid w:val="12493635"/>
    <w:rsid w:val="12A63551"/>
    <w:rsid w:val="12C23B45"/>
    <w:rsid w:val="12C94444"/>
    <w:rsid w:val="130A3CD2"/>
    <w:rsid w:val="131129C7"/>
    <w:rsid w:val="132979E6"/>
    <w:rsid w:val="134749C1"/>
    <w:rsid w:val="13633524"/>
    <w:rsid w:val="136D4349"/>
    <w:rsid w:val="13735BC6"/>
    <w:rsid w:val="139870E0"/>
    <w:rsid w:val="13B01E0E"/>
    <w:rsid w:val="13C26798"/>
    <w:rsid w:val="14390A3E"/>
    <w:rsid w:val="14987B30"/>
    <w:rsid w:val="14AF5A83"/>
    <w:rsid w:val="14B07EE9"/>
    <w:rsid w:val="14C86AF1"/>
    <w:rsid w:val="14FF731F"/>
    <w:rsid w:val="150027ED"/>
    <w:rsid w:val="15152D07"/>
    <w:rsid w:val="1520630C"/>
    <w:rsid w:val="154B2812"/>
    <w:rsid w:val="155B5895"/>
    <w:rsid w:val="1565070F"/>
    <w:rsid w:val="15A15275"/>
    <w:rsid w:val="160F7219"/>
    <w:rsid w:val="16192A10"/>
    <w:rsid w:val="169C4B74"/>
    <w:rsid w:val="16BE66C8"/>
    <w:rsid w:val="16E314FF"/>
    <w:rsid w:val="16E7004B"/>
    <w:rsid w:val="170541C7"/>
    <w:rsid w:val="1716271C"/>
    <w:rsid w:val="17597598"/>
    <w:rsid w:val="177B3861"/>
    <w:rsid w:val="179A0F50"/>
    <w:rsid w:val="17A80118"/>
    <w:rsid w:val="17BB2A52"/>
    <w:rsid w:val="17C30250"/>
    <w:rsid w:val="17F412C0"/>
    <w:rsid w:val="182D5FB1"/>
    <w:rsid w:val="184311EA"/>
    <w:rsid w:val="184E7B85"/>
    <w:rsid w:val="18D50315"/>
    <w:rsid w:val="18E907FD"/>
    <w:rsid w:val="19323762"/>
    <w:rsid w:val="19460D48"/>
    <w:rsid w:val="197B2014"/>
    <w:rsid w:val="19855016"/>
    <w:rsid w:val="19891BB2"/>
    <w:rsid w:val="199D6561"/>
    <w:rsid w:val="19BB1F4F"/>
    <w:rsid w:val="19CF558D"/>
    <w:rsid w:val="19D80095"/>
    <w:rsid w:val="19F21475"/>
    <w:rsid w:val="1A643E5A"/>
    <w:rsid w:val="1A6D06CF"/>
    <w:rsid w:val="1A9436EA"/>
    <w:rsid w:val="1AB25702"/>
    <w:rsid w:val="1AD01427"/>
    <w:rsid w:val="1AD50422"/>
    <w:rsid w:val="1AD8630A"/>
    <w:rsid w:val="1AE54BD6"/>
    <w:rsid w:val="1AEC01ED"/>
    <w:rsid w:val="1B155B2E"/>
    <w:rsid w:val="1B2A5F07"/>
    <w:rsid w:val="1B4D482E"/>
    <w:rsid w:val="1B6E3CDC"/>
    <w:rsid w:val="1BB326D4"/>
    <w:rsid w:val="1BCE00B6"/>
    <w:rsid w:val="1C0E0367"/>
    <w:rsid w:val="1C4C7265"/>
    <w:rsid w:val="1C56405D"/>
    <w:rsid w:val="1C6A4396"/>
    <w:rsid w:val="1C8C09A4"/>
    <w:rsid w:val="1C9D28DB"/>
    <w:rsid w:val="1CB84274"/>
    <w:rsid w:val="1CC86D72"/>
    <w:rsid w:val="1D0F6949"/>
    <w:rsid w:val="1D657EDC"/>
    <w:rsid w:val="1D661B3F"/>
    <w:rsid w:val="1D724C7F"/>
    <w:rsid w:val="1D767476"/>
    <w:rsid w:val="1D8218C9"/>
    <w:rsid w:val="1DDE5F21"/>
    <w:rsid w:val="1DE01873"/>
    <w:rsid w:val="1DFB108A"/>
    <w:rsid w:val="1E5D0BC6"/>
    <w:rsid w:val="1E870705"/>
    <w:rsid w:val="1E916248"/>
    <w:rsid w:val="1EC83D73"/>
    <w:rsid w:val="1F192F7A"/>
    <w:rsid w:val="1F290557"/>
    <w:rsid w:val="1F2E397A"/>
    <w:rsid w:val="1F524BCE"/>
    <w:rsid w:val="1FDF33DF"/>
    <w:rsid w:val="1FE118A3"/>
    <w:rsid w:val="1FF87716"/>
    <w:rsid w:val="201933EE"/>
    <w:rsid w:val="20504E39"/>
    <w:rsid w:val="206625A4"/>
    <w:rsid w:val="208958EF"/>
    <w:rsid w:val="20DD4D3E"/>
    <w:rsid w:val="20EB2990"/>
    <w:rsid w:val="21410F50"/>
    <w:rsid w:val="214962FF"/>
    <w:rsid w:val="2161460A"/>
    <w:rsid w:val="218C1D11"/>
    <w:rsid w:val="21AE1F34"/>
    <w:rsid w:val="21E40F7C"/>
    <w:rsid w:val="22117DDF"/>
    <w:rsid w:val="222F2715"/>
    <w:rsid w:val="22360873"/>
    <w:rsid w:val="22A1673B"/>
    <w:rsid w:val="22CE07DE"/>
    <w:rsid w:val="22E87F0C"/>
    <w:rsid w:val="22E944DC"/>
    <w:rsid w:val="2310350E"/>
    <w:rsid w:val="2313604A"/>
    <w:rsid w:val="233F7469"/>
    <w:rsid w:val="234E4BB7"/>
    <w:rsid w:val="23693F35"/>
    <w:rsid w:val="23780E55"/>
    <w:rsid w:val="23B87B65"/>
    <w:rsid w:val="23C725ED"/>
    <w:rsid w:val="23E67604"/>
    <w:rsid w:val="23ED717D"/>
    <w:rsid w:val="23FB434E"/>
    <w:rsid w:val="23FC7FBD"/>
    <w:rsid w:val="24424F49"/>
    <w:rsid w:val="244D28DB"/>
    <w:rsid w:val="24582AB9"/>
    <w:rsid w:val="249A70FD"/>
    <w:rsid w:val="250A24C7"/>
    <w:rsid w:val="25103FB1"/>
    <w:rsid w:val="25181006"/>
    <w:rsid w:val="251F6B66"/>
    <w:rsid w:val="25275848"/>
    <w:rsid w:val="25393DF2"/>
    <w:rsid w:val="255610FC"/>
    <w:rsid w:val="25836053"/>
    <w:rsid w:val="258F653B"/>
    <w:rsid w:val="2590038C"/>
    <w:rsid w:val="25966573"/>
    <w:rsid w:val="25A714DA"/>
    <w:rsid w:val="25BC6F27"/>
    <w:rsid w:val="25E22B43"/>
    <w:rsid w:val="262B054D"/>
    <w:rsid w:val="26311E98"/>
    <w:rsid w:val="26482F80"/>
    <w:rsid w:val="265F395F"/>
    <w:rsid w:val="26AB4D56"/>
    <w:rsid w:val="26AE1973"/>
    <w:rsid w:val="26AE693E"/>
    <w:rsid w:val="26E23E93"/>
    <w:rsid w:val="26E77831"/>
    <w:rsid w:val="26F46130"/>
    <w:rsid w:val="26FB6D1D"/>
    <w:rsid w:val="27114BEF"/>
    <w:rsid w:val="272B6E02"/>
    <w:rsid w:val="274F3811"/>
    <w:rsid w:val="27824A01"/>
    <w:rsid w:val="27847FB7"/>
    <w:rsid w:val="27883B6C"/>
    <w:rsid w:val="27A37064"/>
    <w:rsid w:val="27B62A0E"/>
    <w:rsid w:val="27C41365"/>
    <w:rsid w:val="28601CA6"/>
    <w:rsid w:val="286213BC"/>
    <w:rsid w:val="28763F99"/>
    <w:rsid w:val="287B6C4E"/>
    <w:rsid w:val="28834F6D"/>
    <w:rsid w:val="288E3703"/>
    <w:rsid w:val="28A408CA"/>
    <w:rsid w:val="28B811F5"/>
    <w:rsid w:val="28EE4A25"/>
    <w:rsid w:val="28F24EFB"/>
    <w:rsid w:val="2905710C"/>
    <w:rsid w:val="291B397F"/>
    <w:rsid w:val="29322CC1"/>
    <w:rsid w:val="29B8113F"/>
    <w:rsid w:val="29EC5923"/>
    <w:rsid w:val="29F501CF"/>
    <w:rsid w:val="2A4D2A7B"/>
    <w:rsid w:val="2A5953A1"/>
    <w:rsid w:val="2A6410F5"/>
    <w:rsid w:val="2ACB1273"/>
    <w:rsid w:val="2ACD7030"/>
    <w:rsid w:val="2AD445F2"/>
    <w:rsid w:val="2AD51603"/>
    <w:rsid w:val="2AF244F1"/>
    <w:rsid w:val="2AFA22A8"/>
    <w:rsid w:val="2AFA3A02"/>
    <w:rsid w:val="2B0471B2"/>
    <w:rsid w:val="2B192238"/>
    <w:rsid w:val="2B2F046C"/>
    <w:rsid w:val="2B62097C"/>
    <w:rsid w:val="2BA81B2F"/>
    <w:rsid w:val="2BDF0422"/>
    <w:rsid w:val="2BF4129C"/>
    <w:rsid w:val="2C711BB4"/>
    <w:rsid w:val="2C9D3CC8"/>
    <w:rsid w:val="2C9E7B06"/>
    <w:rsid w:val="2D143085"/>
    <w:rsid w:val="2D1A15B8"/>
    <w:rsid w:val="2D220DA3"/>
    <w:rsid w:val="2D597E35"/>
    <w:rsid w:val="2D7A7F40"/>
    <w:rsid w:val="2DA96D2F"/>
    <w:rsid w:val="2DEA19B3"/>
    <w:rsid w:val="2DF218F3"/>
    <w:rsid w:val="2DF57831"/>
    <w:rsid w:val="2E3A0417"/>
    <w:rsid w:val="2E741D31"/>
    <w:rsid w:val="2E880362"/>
    <w:rsid w:val="2EC27034"/>
    <w:rsid w:val="2ED12105"/>
    <w:rsid w:val="2F0B2B2E"/>
    <w:rsid w:val="2F0E009E"/>
    <w:rsid w:val="2F2456D1"/>
    <w:rsid w:val="2F352CD3"/>
    <w:rsid w:val="2F3D5071"/>
    <w:rsid w:val="2F4376E3"/>
    <w:rsid w:val="2F6B63D1"/>
    <w:rsid w:val="2F752463"/>
    <w:rsid w:val="2F79302F"/>
    <w:rsid w:val="2F9D4665"/>
    <w:rsid w:val="2FBE38CD"/>
    <w:rsid w:val="2FD50A5C"/>
    <w:rsid w:val="30403EE1"/>
    <w:rsid w:val="30B7388B"/>
    <w:rsid w:val="30B769E3"/>
    <w:rsid w:val="30E22624"/>
    <w:rsid w:val="31032976"/>
    <w:rsid w:val="310D1C80"/>
    <w:rsid w:val="31276836"/>
    <w:rsid w:val="31305093"/>
    <w:rsid w:val="318446A4"/>
    <w:rsid w:val="318A4C34"/>
    <w:rsid w:val="319F30DA"/>
    <w:rsid w:val="31A86EDA"/>
    <w:rsid w:val="32244304"/>
    <w:rsid w:val="32490C1D"/>
    <w:rsid w:val="326F2C64"/>
    <w:rsid w:val="32AA21F8"/>
    <w:rsid w:val="32F121D6"/>
    <w:rsid w:val="32FC2E82"/>
    <w:rsid w:val="33435A74"/>
    <w:rsid w:val="334365C7"/>
    <w:rsid w:val="334D7342"/>
    <w:rsid w:val="33691F7C"/>
    <w:rsid w:val="3380035F"/>
    <w:rsid w:val="33890F52"/>
    <w:rsid w:val="33CF36E3"/>
    <w:rsid w:val="33DC32CE"/>
    <w:rsid w:val="33E64DB3"/>
    <w:rsid w:val="33EA79A8"/>
    <w:rsid w:val="33FC420F"/>
    <w:rsid w:val="34032E15"/>
    <w:rsid w:val="34116BC2"/>
    <w:rsid w:val="34226726"/>
    <w:rsid w:val="34493A31"/>
    <w:rsid w:val="344D76E9"/>
    <w:rsid w:val="34504029"/>
    <w:rsid w:val="345A6A42"/>
    <w:rsid w:val="346F44D4"/>
    <w:rsid w:val="34C127F5"/>
    <w:rsid w:val="34E8765B"/>
    <w:rsid w:val="34FE4838"/>
    <w:rsid w:val="351E4546"/>
    <w:rsid w:val="35B2379A"/>
    <w:rsid w:val="35C320D1"/>
    <w:rsid w:val="35DE195A"/>
    <w:rsid w:val="361142B6"/>
    <w:rsid w:val="3624108A"/>
    <w:rsid w:val="363740A0"/>
    <w:rsid w:val="364E70C2"/>
    <w:rsid w:val="365C7794"/>
    <w:rsid w:val="366B24A8"/>
    <w:rsid w:val="36A86EB4"/>
    <w:rsid w:val="36B96DF7"/>
    <w:rsid w:val="36C375C8"/>
    <w:rsid w:val="36E76104"/>
    <w:rsid w:val="36EA6232"/>
    <w:rsid w:val="37000FAE"/>
    <w:rsid w:val="370A43D4"/>
    <w:rsid w:val="372325D5"/>
    <w:rsid w:val="375F36A9"/>
    <w:rsid w:val="37965179"/>
    <w:rsid w:val="379960AF"/>
    <w:rsid w:val="379E451B"/>
    <w:rsid w:val="379F0436"/>
    <w:rsid w:val="37C77F4E"/>
    <w:rsid w:val="37D17DFB"/>
    <w:rsid w:val="37DA5E65"/>
    <w:rsid w:val="37DD6634"/>
    <w:rsid w:val="38A52EFD"/>
    <w:rsid w:val="38DC0C77"/>
    <w:rsid w:val="38E0288F"/>
    <w:rsid w:val="38F96B02"/>
    <w:rsid w:val="392F7228"/>
    <w:rsid w:val="39503743"/>
    <w:rsid w:val="396A00E3"/>
    <w:rsid w:val="39993FB2"/>
    <w:rsid w:val="39BB13F9"/>
    <w:rsid w:val="39BD1FC6"/>
    <w:rsid w:val="3A560038"/>
    <w:rsid w:val="3A574980"/>
    <w:rsid w:val="3A6F3180"/>
    <w:rsid w:val="3AC0364E"/>
    <w:rsid w:val="3AC232AC"/>
    <w:rsid w:val="3AE812F9"/>
    <w:rsid w:val="3AEA4352"/>
    <w:rsid w:val="3B0A5DC9"/>
    <w:rsid w:val="3B1A4CDB"/>
    <w:rsid w:val="3B4C489E"/>
    <w:rsid w:val="3B5C5F89"/>
    <w:rsid w:val="3B713103"/>
    <w:rsid w:val="3BC152AA"/>
    <w:rsid w:val="3BC75EF6"/>
    <w:rsid w:val="3BD67EF5"/>
    <w:rsid w:val="3BFA1AF4"/>
    <w:rsid w:val="3C064F4E"/>
    <w:rsid w:val="3C103C09"/>
    <w:rsid w:val="3C5376C3"/>
    <w:rsid w:val="3C68787C"/>
    <w:rsid w:val="3CAD0B01"/>
    <w:rsid w:val="3D144429"/>
    <w:rsid w:val="3D1F09BD"/>
    <w:rsid w:val="3D614CCA"/>
    <w:rsid w:val="3D8C2CE8"/>
    <w:rsid w:val="3D9778A8"/>
    <w:rsid w:val="3DAA5657"/>
    <w:rsid w:val="3E582789"/>
    <w:rsid w:val="3E7B2D0A"/>
    <w:rsid w:val="3EA54B4F"/>
    <w:rsid w:val="3EAC40EC"/>
    <w:rsid w:val="3EE10EA0"/>
    <w:rsid w:val="3EE36C6C"/>
    <w:rsid w:val="3EEE6E3C"/>
    <w:rsid w:val="3F0145A0"/>
    <w:rsid w:val="3F1F32B3"/>
    <w:rsid w:val="3F1F7792"/>
    <w:rsid w:val="3F484B91"/>
    <w:rsid w:val="3F7A669A"/>
    <w:rsid w:val="3F7C7D42"/>
    <w:rsid w:val="3F862065"/>
    <w:rsid w:val="3F8D2848"/>
    <w:rsid w:val="3F8D45EB"/>
    <w:rsid w:val="3FF47106"/>
    <w:rsid w:val="3FFE01D2"/>
    <w:rsid w:val="402979B3"/>
    <w:rsid w:val="402A4A9C"/>
    <w:rsid w:val="40484CF6"/>
    <w:rsid w:val="404A0FCB"/>
    <w:rsid w:val="4088084D"/>
    <w:rsid w:val="40896A3A"/>
    <w:rsid w:val="40AF61D9"/>
    <w:rsid w:val="41122334"/>
    <w:rsid w:val="41293490"/>
    <w:rsid w:val="41373FE2"/>
    <w:rsid w:val="4145557F"/>
    <w:rsid w:val="41575FEF"/>
    <w:rsid w:val="41826238"/>
    <w:rsid w:val="418B0239"/>
    <w:rsid w:val="41E53362"/>
    <w:rsid w:val="41E8480A"/>
    <w:rsid w:val="41F41C36"/>
    <w:rsid w:val="41F56E80"/>
    <w:rsid w:val="42080EA7"/>
    <w:rsid w:val="422144C5"/>
    <w:rsid w:val="424039CC"/>
    <w:rsid w:val="42464A7F"/>
    <w:rsid w:val="427512D9"/>
    <w:rsid w:val="42A33B3D"/>
    <w:rsid w:val="42AA02D7"/>
    <w:rsid w:val="42ED536F"/>
    <w:rsid w:val="43156497"/>
    <w:rsid w:val="436846E6"/>
    <w:rsid w:val="43A922EB"/>
    <w:rsid w:val="43A94D4C"/>
    <w:rsid w:val="43B82E60"/>
    <w:rsid w:val="43CE0AC1"/>
    <w:rsid w:val="43E92156"/>
    <w:rsid w:val="43FA62BC"/>
    <w:rsid w:val="44124022"/>
    <w:rsid w:val="446D582A"/>
    <w:rsid w:val="4473138B"/>
    <w:rsid w:val="44763BAD"/>
    <w:rsid w:val="448B195E"/>
    <w:rsid w:val="44B26189"/>
    <w:rsid w:val="44E60093"/>
    <w:rsid w:val="44FB75C3"/>
    <w:rsid w:val="450906D9"/>
    <w:rsid w:val="45090BD3"/>
    <w:rsid w:val="451C4B1E"/>
    <w:rsid w:val="452B597F"/>
    <w:rsid w:val="452F16D0"/>
    <w:rsid w:val="45642566"/>
    <w:rsid w:val="45977C6B"/>
    <w:rsid w:val="45A803E9"/>
    <w:rsid w:val="45B96905"/>
    <w:rsid w:val="45C875D9"/>
    <w:rsid w:val="45CD41BC"/>
    <w:rsid w:val="45D60B9C"/>
    <w:rsid w:val="45E73CFD"/>
    <w:rsid w:val="460C338C"/>
    <w:rsid w:val="462E5178"/>
    <w:rsid w:val="464A071B"/>
    <w:rsid w:val="46B21EF3"/>
    <w:rsid w:val="47013AB4"/>
    <w:rsid w:val="47021478"/>
    <w:rsid w:val="47364AA3"/>
    <w:rsid w:val="474904C3"/>
    <w:rsid w:val="475328E8"/>
    <w:rsid w:val="4764243F"/>
    <w:rsid w:val="47A33BF3"/>
    <w:rsid w:val="47A35236"/>
    <w:rsid w:val="47C33B00"/>
    <w:rsid w:val="47F85C31"/>
    <w:rsid w:val="480F2365"/>
    <w:rsid w:val="481625E2"/>
    <w:rsid w:val="48543132"/>
    <w:rsid w:val="485B499A"/>
    <w:rsid w:val="485E54FB"/>
    <w:rsid w:val="488D6909"/>
    <w:rsid w:val="48AB0B51"/>
    <w:rsid w:val="48E47953"/>
    <w:rsid w:val="49003751"/>
    <w:rsid w:val="49151E1D"/>
    <w:rsid w:val="491D1485"/>
    <w:rsid w:val="492E3C81"/>
    <w:rsid w:val="49530CFD"/>
    <w:rsid w:val="4975418A"/>
    <w:rsid w:val="49872471"/>
    <w:rsid w:val="498C33C9"/>
    <w:rsid w:val="49C932F9"/>
    <w:rsid w:val="49E97211"/>
    <w:rsid w:val="49F1253D"/>
    <w:rsid w:val="4A334159"/>
    <w:rsid w:val="4A566B64"/>
    <w:rsid w:val="4A6176CA"/>
    <w:rsid w:val="4ACE06BD"/>
    <w:rsid w:val="4B170F0B"/>
    <w:rsid w:val="4B3C2DE4"/>
    <w:rsid w:val="4B5B2FBF"/>
    <w:rsid w:val="4B6951A4"/>
    <w:rsid w:val="4B6E0B37"/>
    <w:rsid w:val="4B951B1A"/>
    <w:rsid w:val="4B963D86"/>
    <w:rsid w:val="4B966C49"/>
    <w:rsid w:val="4B985FB7"/>
    <w:rsid w:val="4B9B40F4"/>
    <w:rsid w:val="4BB33F69"/>
    <w:rsid w:val="4BB52205"/>
    <w:rsid w:val="4BBD7EFB"/>
    <w:rsid w:val="4BBE4482"/>
    <w:rsid w:val="4BDD2AD6"/>
    <w:rsid w:val="4BE45072"/>
    <w:rsid w:val="4C3947E6"/>
    <w:rsid w:val="4C481055"/>
    <w:rsid w:val="4C857B69"/>
    <w:rsid w:val="4C8B3DB8"/>
    <w:rsid w:val="4C8C285C"/>
    <w:rsid w:val="4CB624E1"/>
    <w:rsid w:val="4CC35F92"/>
    <w:rsid w:val="4CCE6084"/>
    <w:rsid w:val="4CD33682"/>
    <w:rsid w:val="4CE42054"/>
    <w:rsid w:val="4D36114E"/>
    <w:rsid w:val="4D555B7E"/>
    <w:rsid w:val="4D605D08"/>
    <w:rsid w:val="4D614BAC"/>
    <w:rsid w:val="4D737426"/>
    <w:rsid w:val="4D785B4B"/>
    <w:rsid w:val="4D934236"/>
    <w:rsid w:val="4E1A3EB9"/>
    <w:rsid w:val="4E66214D"/>
    <w:rsid w:val="4E75409B"/>
    <w:rsid w:val="4E987F7B"/>
    <w:rsid w:val="4E9D1E49"/>
    <w:rsid w:val="4EB3728E"/>
    <w:rsid w:val="4EDC4BB6"/>
    <w:rsid w:val="4EE47DC4"/>
    <w:rsid w:val="4F160B19"/>
    <w:rsid w:val="4F47727C"/>
    <w:rsid w:val="4F7502CD"/>
    <w:rsid w:val="4F9C7802"/>
    <w:rsid w:val="4FE035D8"/>
    <w:rsid w:val="50135BF5"/>
    <w:rsid w:val="50212348"/>
    <w:rsid w:val="50447071"/>
    <w:rsid w:val="5046572D"/>
    <w:rsid w:val="5052428F"/>
    <w:rsid w:val="506220A3"/>
    <w:rsid w:val="50747583"/>
    <w:rsid w:val="507B3B54"/>
    <w:rsid w:val="50C41269"/>
    <w:rsid w:val="50CE4DF3"/>
    <w:rsid w:val="50D02D47"/>
    <w:rsid w:val="50F04769"/>
    <w:rsid w:val="50FC2F14"/>
    <w:rsid w:val="510B5245"/>
    <w:rsid w:val="51342205"/>
    <w:rsid w:val="516F21A4"/>
    <w:rsid w:val="51A13A1E"/>
    <w:rsid w:val="51CD33F3"/>
    <w:rsid w:val="51EF394F"/>
    <w:rsid w:val="51F43142"/>
    <w:rsid w:val="52335E79"/>
    <w:rsid w:val="52472329"/>
    <w:rsid w:val="525630AB"/>
    <w:rsid w:val="526B16FB"/>
    <w:rsid w:val="52AD274D"/>
    <w:rsid w:val="52D219D8"/>
    <w:rsid w:val="52EA6685"/>
    <w:rsid w:val="52F40C00"/>
    <w:rsid w:val="52FB0D80"/>
    <w:rsid w:val="53295B3D"/>
    <w:rsid w:val="536D7DCC"/>
    <w:rsid w:val="537D2766"/>
    <w:rsid w:val="53DA47F6"/>
    <w:rsid w:val="54036AB5"/>
    <w:rsid w:val="54050AC1"/>
    <w:rsid w:val="54376DA6"/>
    <w:rsid w:val="544B3480"/>
    <w:rsid w:val="54532C5F"/>
    <w:rsid w:val="54891772"/>
    <w:rsid w:val="54AF397E"/>
    <w:rsid w:val="550E32DA"/>
    <w:rsid w:val="550F6898"/>
    <w:rsid w:val="556F7697"/>
    <w:rsid w:val="558C0160"/>
    <w:rsid w:val="55923E3B"/>
    <w:rsid w:val="55AA0615"/>
    <w:rsid w:val="55B8094F"/>
    <w:rsid w:val="55C3550E"/>
    <w:rsid w:val="561F2880"/>
    <w:rsid w:val="56515F2A"/>
    <w:rsid w:val="56731C08"/>
    <w:rsid w:val="56926758"/>
    <w:rsid w:val="569A6B49"/>
    <w:rsid w:val="56CA067C"/>
    <w:rsid w:val="56DA5929"/>
    <w:rsid w:val="57026C24"/>
    <w:rsid w:val="57036EB0"/>
    <w:rsid w:val="570C0AA7"/>
    <w:rsid w:val="572D29F3"/>
    <w:rsid w:val="572F330B"/>
    <w:rsid w:val="573A7A5C"/>
    <w:rsid w:val="57410D87"/>
    <w:rsid w:val="57476023"/>
    <w:rsid w:val="574B730B"/>
    <w:rsid w:val="574F42EA"/>
    <w:rsid w:val="576D74A4"/>
    <w:rsid w:val="57911B85"/>
    <w:rsid w:val="57D9140F"/>
    <w:rsid w:val="57F33095"/>
    <w:rsid w:val="580035EC"/>
    <w:rsid w:val="580450B9"/>
    <w:rsid w:val="581F66AA"/>
    <w:rsid w:val="584A359E"/>
    <w:rsid w:val="5887667A"/>
    <w:rsid w:val="58A371F0"/>
    <w:rsid w:val="58B93006"/>
    <w:rsid w:val="58D0693C"/>
    <w:rsid w:val="58DC6DC8"/>
    <w:rsid w:val="591A1764"/>
    <w:rsid w:val="59251D7D"/>
    <w:rsid w:val="59276D51"/>
    <w:rsid w:val="593F7793"/>
    <w:rsid w:val="594F5DBB"/>
    <w:rsid w:val="59674665"/>
    <w:rsid w:val="59AE0876"/>
    <w:rsid w:val="59CB7EC1"/>
    <w:rsid w:val="59F62E34"/>
    <w:rsid w:val="5A163090"/>
    <w:rsid w:val="5A17193C"/>
    <w:rsid w:val="5A220D27"/>
    <w:rsid w:val="5A325586"/>
    <w:rsid w:val="5A3C69D3"/>
    <w:rsid w:val="5A451F9D"/>
    <w:rsid w:val="5A6A3817"/>
    <w:rsid w:val="5A867634"/>
    <w:rsid w:val="5A893E9C"/>
    <w:rsid w:val="5AB1403B"/>
    <w:rsid w:val="5AB474C0"/>
    <w:rsid w:val="5ACB611F"/>
    <w:rsid w:val="5AD07DF3"/>
    <w:rsid w:val="5AFD6139"/>
    <w:rsid w:val="5B21605A"/>
    <w:rsid w:val="5B631EAA"/>
    <w:rsid w:val="5B6901D2"/>
    <w:rsid w:val="5BA64C91"/>
    <w:rsid w:val="5BAA0708"/>
    <w:rsid w:val="5BB438EC"/>
    <w:rsid w:val="5BBA5AD3"/>
    <w:rsid w:val="5BE71160"/>
    <w:rsid w:val="5BFC41A3"/>
    <w:rsid w:val="5C207617"/>
    <w:rsid w:val="5C384542"/>
    <w:rsid w:val="5C6545F2"/>
    <w:rsid w:val="5C742DA9"/>
    <w:rsid w:val="5C924C48"/>
    <w:rsid w:val="5C972F47"/>
    <w:rsid w:val="5CCA7F22"/>
    <w:rsid w:val="5CE271BF"/>
    <w:rsid w:val="5D315AAF"/>
    <w:rsid w:val="5D346C53"/>
    <w:rsid w:val="5DB871F5"/>
    <w:rsid w:val="5DDA6B2D"/>
    <w:rsid w:val="5DE85702"/>
    <w:rsid w:val="5E120499"/>
    <w:rsid w:val="5E205A06"/>
    <w:rsid w:val="5E27530A"/>
    <w:rsid w:val="5E5A628C"/>
    <w:rsid w:val="5E5F7038"/>
    <w:rsid w:val="5E8F4858"/>
    <w:rsid w:val="5EED4E1E"/>
    <w:rsid w:val="5EFA51BA"/>
    <w:rsid w:val="5F073069"/>
    <w:rsid w:val="5F1A0713"/>
    <w:rsid w:val="5F2F68CD"/>
    <w:rsid w:val="5F3C76E8"/>
    <w:rsid w:val="5F491F9B"/>
    <w:rsid w:val="5F4D0D64"/>
    <w:rsid w:val="5F59513E"/>
    <w:rsid w:val="5F6C1DFE"/>
    <w:rsid w:val="5FD55910"/>
    <w:rsid w:val="5FFD0E6C"/>
    <w:rsid w:val="601C3B72"/>
    <w:rsid w:val="604361EE"/>
    <w:rsid w:val="604862D5"/>
    <w:rsid w:val="605B08F6"/>
    <w:rsid w:val="606C5423"/>
    <w:rsid w:val="60807166"/>
    <w:rsid w:val="608211ED"/>
    <w:rsid w:val="608F6025"/>
    <w:rsid w:val="609612DA"/>
    <w:rsid w:val="60A05DE4"/>
    <w:rsid w:val="60B872A6"/>
    <w:rsid w:val="60BB526B"/>
    <w:rsid w:val="60F46365"/>
    <w:rsid w:val="61103626"/>
    <w:rsid w:val="612B6C96"/>
    <w:rsid w:val="6152562C"/>
    <w:rsid w:val="61B43A39"/>
    <w:rsid w:val="61CC04C0"/>
    <w:rsid w:val="61EA254E"/>
    <w:rsid w:val="62011940"/>
    <w:rsid w:val="620E4565"/>
    <w:rsid w:val="620E7A74"/>
    <w:rsid w:val="62553359"/>
    <w:rsid w:val="626E7B55"/>
    <w:rsid w:val="627345F6"/>
    <w:rsid w:val="627568AE"/>
    <w:rsid w:val="62845FC8"/>
    <w:rsid w:val="62BD110E"/>
    <w:rsid w:val="62E546EC"/>
    <w:rsid w:val="633A4246"/>
    <w:rsid w:val="63460D10"/>
    <w:rsid w:val="634D0E70"/>
    <w:rsid w:val="6389444F"/>
    <w:rsid w:val="63BC48D2"/>
    <w:rsid w:val="63BF7FA5"/>
    <w:rsid w:val="63C57D1A"/>
    <w:rsid w:val="643F28DE"/>
    <w:rsid w:val="64434DA6"/>
    <w:rsid w:val="644F37EF"/>
    <w:rsid w:val="64501E5A"/>
    <w:rsid w:val="64531BDE"/>
    <w:rsid w:val="64540EA4"/>
    <w:rsid w:val="64545F5A"/>
    <w:rsid w:val="64666F83"/>
    <w:rsid w:val="646A546F"/>
    <w:rsid w:val="64836CC0"/>
    <w:rsid w:val="649D2720"/>
    <w:rsid w:val="64A60B0D"/>
    <w:rsid w:val="64C70B99"/>
    <w:rsid w:val="65333D23"/>
    <w:rsid w:val="653A666D"/>
    <w:rsid w:val="653B1711"/>
    <w:rsid w:val="65477160"/>
    <w:rsid w:val="65731725"/>
    <w:rsid w:val="65834CE4"/>
    <w:rsid w:val="658808DA"/>
    <w:rsid w:val="65903138"/>
    <w:rsid w:val="65B13602"/>
    <w:rsid w:val="66293B4B"/>
    <w:rsid w:val="664C58DE"/>
    <w:rsid w:val="66665B0A"/>
    <w:rsid w:val="6687443C"/>
    <w:rsid w:val="669C43E3"/>
    <w:rsid w:val="66B61C09"/>
    <w:rsid w:val="66D06948"/>
    <w:rsid w:val="66D62ADF"/>
    <w:rsid w:val="66E6143F"/>
    <w:rsid w:val="66F61601"/>
    <w:rsid w:val="67F75222"/>
    <w:rsid w:val="682A592F"/>
    <w:rsid w:val="682F1F0A"/>
    <w:rsid w:val="684267C4"/>
    <w:rsid w:val="684743ED"/>
    <w:rsid w:val="68521D6B"/>
    <w:rsid w:val="685B1921"/>
    <w:rsid w:val="68847C33"/>
    <w:rsid w:val="689735CF"/>
    <w:rsid w:val="68A4012F"/>
    <w:rsid w:val="68AB422D"/>
    <w:rsid w:val="68E53B7C"/>
    <w:rsid w:val="68ED03DF"/>
    <w:rsid w:val="68F23AFC"/>
    <w:rsid w:val="69046ECE"/>
    <w:rsid w:val="69255A62"/>
    <w:rsid w:val="692E4605"/>
    <w:rsid w:val="6934297D"/>
    <w:rsid w:val="69661C07"/>
    <w:rsid w:val="6972382F"/>
    <w:rsid w:val="6A220556"/>
    <w:rsid w:val="6A266A94"/>
    <w:rsid w:val="6A55356E"/>
    <w:rsid w:val="6A5D57DD"/>
    <w:rsid w:val="6A697F3F"/>
    <w:rsid w:val="6A88626C"/>
    <w:rsid w:val="6A8931C5"/>
    <w:rsid w:val="6A96133B"/>
    <w:rsid w:val="6AA624C9"/>
    <w:rsid w:val="6AB811E9"/>
    <w:rsid w:val="6ABC1282"/>
    <w:rsid w:val="6ACD3207"/>
    <w:rsid w:val="6AD1320C"/>
    <w:rsid w:val="6AE8101A"/>
    <w:rsid w:val="6AF80937"/>
    <w:rsid w:val="6B263110"/>
    <w:rsid w:val="6B3149A9"/>
    <w:rsid w:val="6B350056"/>
    <w:rsid w:val="6BF13F71"/>
    <w:rsid w:val="6BF14593"/>
    <w:rsid w:val="6C204F0D"/>
    <w:rsid w:val="6C540FF2"/>
    <w:rsid w:val="6C5D4509"/>
    <w:rsid w:val="6C607801"/>
    <w:rsid w:val="6CB92CF0"/>
    <w:rsid w:val="6CCB2924"/>
    <w:rsid w:val="6CD86DB5"/>
    <w:rsid w:val="6CE468C3"/>
    <w:rsid w:val="6CFA27E6"/>
    <w:rsid w:val="6D001C8E"/>
    <w:rsid w:val="6D1D418A"/>
    <w:rsid w:val="6D39739A"/>
    <w:rsid w:val="6D9E7731"/>
    <w:rsid w:val="6DBD2C4A"/>
    <w:rsid w:val="6DE15EF8"/>
    <w:rsid w:val="6E0C59DA"/>
    <w:rsid w:val="6E157304"/>
    <w:rsid w:val="6E243D60"/>
    <w:rsid w:val="6E5B1E95"/>
    <w:rsid w:val="6E611258"/>
    <w:rsid w:val="6E7B7520"/>
    <w:rsid w:val="6E8254CA"/>
    <w:rsid w:val="6E9859E8"/>
    <w:rsid w:val="6E9B1FD9"/>
    <w:rsid w:val="6ED96788"/>
    <w:rsid w:val="6EE32676"/>
    <w:rsid w:val="6F061CFC"/>
    <w:rsid w:val="6F300B9A"/>
    <w:rsid w:val="6F403A3A"/>
    <w:rsid w:val="6F47700E"/>
    <w:rsid w:val="6F6456ED"/>
    <w:rsid w:val="6F8D6FCF"/>
    <w:rsid w:val="6FA5315E"/>
    <w:rsid w:val="6FB334E2"/>
    <w:rsid w:val="6FE27C51"/>
    <w:rsid w:val="6FF1539A"/>
    <w:rsid w:val="70025E46"/>
    <w:rsid w:val="7018562B"/>
    <w:rsid w:val="7045186B"/>
    <w:rsid w:val="707C5014"/>
    <w:rsid w:val="710124C1"/>
    <w:rsid w:val="71501AD8"/>
    <w:rsid w:val="71694F89"/>
    <w:rsid w:val="71701C90"/>
    <w:rsid w:val="71725903"/>
    <w:rsid w:val="71886377"/>
    <w:rsid w:val="71A7220B"/>
    <w:rsid w:val="71B16D8C"/>
    <w:rsid w:val="71BD3C33"/>
    <w:rsid w:val="71E45052"/>
    <w:rsid w:val="71E60911"/>
    <w:rsid w:val="71E772AF"/>
    <w:rsid w:val="71E800BD"/>
    <w:rsid w:val="72185ECE"/>
    <w:rsid w:val="721C5CEE"/>
    <w:rsid w:val="725E0FC7"/>
    <w:rsid w:val="72663D26"/>
    <w:rsid w:val="72D334E7"/>
    <w:rsid w:val="73360931"/>
    <w:rsid w:val="733739C5"/>
    <w:rsid w:val="733962DF"/>
    <w:rsid w:val="733B6186"/>
    <w:rsid w:val="73886EE4"/>
    <w:rsid w:val="73A37832"/>
    <w:rsid w:val="73CA20D3"/>
    <w:rsid w:val="7402267B"/>
    <w:rsid w:val="74080C45"/>
    <w:rsid w:val="74124FA5"/>
    <w:rsid w:val="744E65CA"/>
    <w:rsid w:val="74713B8A"/>
    <w:rsid w:val="7480410B"/>
    <w:rsid w:val="74AE2ADE"/>
    <w:rsid w:val="74BC5684"/>
    <w:rsid w:val="74C7721B"/>
    <w:rsid w:val="74E00D1F"/>
    <w:rsid w:val="74EA55F2"/>
    <w:rsid w:val="75002589"/>
    <w:rsid w:val="750D63CF"/>
    <w:rsid w:val="7576166D"/>
    <w:rsid w:val="7586476E"/>
    <w:rsid w:val="75B60F62"/>
    <w:rsid w:val="75CD2363"/>
    <w:rsid w:val="75FF55EA"/>
    <w:rsid w:val="76017FC9"/>
    <w:rsid w:val="764C2120"/>
    <w:rsid w:val="765377C2"/>
    <w:rsid w:val="766E6FE9"/>
    <w:rsid w:val="769007DD"/>
    <w:rsid w:val="76C86534"/>
    <w:rsid w:val="77106BCB"/>
    <w:rsid w:val="77497D6B"/>
    <w:rsid w:val="776E7F4D"/>
    <w:rsid w:val="777406FB"/>
    <w:rsid w:val="77982DD1"/>
    <w:rsid w:val="77A06B61"/>
    <w:rsid w:val="77B34E5C"/>
    <w:rsid w:val="78023093"/>
    <w:rsid w:val="780B7181"/>
    <w:rsid w:val="78134005"/>
    <w:rsid w:val="781531D2"/>
    <w:rsid w:val="7819458C"/>
    <w:rsid w:val="784B2599"/>
    <w:rsid w:val="78B959FA"/>
    <w:rsid w:val="78C77137"/>
    <w:rsid w:val="78DF2B38"/>
    <w:rsid w:val="792A22B4"/>
    <w:rsid w:val="796317F7"/>
    <w:rsid w:val="796D386F"/>
    <w:rsid w:val="799B218B"/>
    <w:rsid w:val="79B22B9E"/>
    <w:rsid w:val="79E5023E"/>
    <w:rsid w:val="7A021EAD"/>
    <w:rsid w:val="7A1006A3"/>
    <w:rsid w:val="7A280325"/>
    <w:rsid w:val="7A2D1C1B"/>
    <w:rsid w:val="7A43173C"/>
    <w:rsid w:val="7A722165"/>
    <w:rsid w:val="7AB95F57"/>
    <w:rsid w:val="7ABA1F42"/>
    <w:rsid w:val="7ABC7209"/>
    <w:rsid w:val="7AD76F50"/>
    <w:rsid w:val="7B0B2CF4"/>
    <w:rsid w:val="7B295D8A"/>
    <w:rsid w:val="7B2E4E1C"/>
    <w:rsid w:val="7B3A6F14"/>
    <w:rsid w:val="7BA670F2"/>
    <w:rsid w:val="7BB516AE"/>
    <w:rsid w:val="7BD2499B"/>
    <w:rsid w:val="7BD457F7"/>
    <w:rsid w:val="7C021128"/>
    <w:rsid w:val="7C845690"/>
    <w:rsid w:val="7CD832F3"/>
    <w:rsid w:val="7D4407DB"/>
    <w:rsid w:val="7D614C65"/>
    <w:rsid w:val="7D7F25B0"/>
    <w:rsid w:val="7D8D306F"/>
    <w:rsid w:val="7D91044A"/>
    <w:rsid w:val="7DA7357D"/>
    <w:rsid w:val="7DA7441B"/>
    <w:rsid w:val="7DBF1843"/>
    <w:rsid w:val="7DCA171D"/>
    <w:rsid w:val="7DF26C1C"/>
    <w:rsid w:val="7DF30B91"/>
    <w:rsid w:val="7DFB3E0F"/>
    <w:rsid w:val="7E2C72E7"/>
    <w:rsid w:val="7E464688"/>
    <w:rsid w:val="7EA52910"/>
    <w:rsid w:val="7EC87FFB"/>
    <w:rsid w:val="7ED6173B"/>
    <w:rsid w:val="7EF13FB1"/>
    <w:rsid w:val="7F0650EA"/>
    <w:rsid w:val="7F0942B1"/>
    <w:rsid w:val="7F33053A"/>
    <w:rsid w:val="7F70394B"/>
    <w:rsid w:val="7F762959"/>
    <w:rsid w:val="7FA15E25"/>
    <w:rsid w:val="7FBB279E"/>
    <w:rsid w:val="7FC923F8"/>
    <w:rsid w:val="7FD01209"/>
    <w:rsid w:val="7FEE7A5A"/>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66" fillcolor="white">
      <v:fill color="white"/>
    </o:shapedefaults>
    <o:shapelayout v:ext="edit">
      <o:idmap v:ext="edit" data="1"/>
      <o:rules v:ext="edit">
        <o:r id="V:Rule1" type="connector" idref="#_x0000_s1034"/>
        <o:r id="V:Rule2" type="connector" idref="#_x0000_s1090"/>
        <o:r id="V:Rule3" type="connector" idref="#_x0000_s1074"/>
        <o:r id="V:Rule4" type="connector" idref="#_x0000_s1080"/>
        <o:r id="V:Rule5" type="connector" idref="#_x0000_s1089"/>
        <o:r id="V:Rule6" type="connector" idref="#_x0000_s1083"/>
        <o:r id="V:Rule7" type="connector" idref="#_x0000_s1026"/>
        <o:r id="V:Rule8" type="connector" idref="#_x0000_s1041"/>
        <o:r id="V:Rule9" type="connector" idref="#_x0000_s1072"/>
        <o:r id="V:Rule10" type="connector" idref="#_x0000_s1027"/>
        <o:r id="V:Rule11" type="connector" idref="#_x0000_s1031"/>
        <o:r id="V:Rule12" type="connector" idref="#_x0000_s1035"/>
        <o:r id="V:Rule13" type="connector" idref="#_x0000_s1088">
          <o:proxy start="" idref="#_x0000_s1107" connectloc="2"/>
        </o:r>
        <o:r id="V:Rule14" type="connector" idref="#_x0000_s1111"/>
        <o:r id="V:Rule15" type="connector" idref="#_x0000_s1115"/>
        <o:r id="V:Rule16" type="connector" idref="#_x0000_s1087"/>
        <o:r id="V:Rule17" type="connector" idref="#_x0000_s1044"/>
        <o:r id="V:Rule18" type="connector" idref="#_x0000_s1028"/>
        <o:r id="V:Rule19" type="connector" idref="#_x0000_s1084"/>
        <o:r id="V:Rule20" type="connector" idref="#_x0000_s1114"/>
        <o:r id="V:Rule21" type="connector" idref="#_x0000_s1033"/>
        <o:r id="V:Rule22" type="connector" idref="#_x0000_s1037"/>
        <o:r id="V:Rule23" type="connector" idref="#_x0000_s1117"/>
        <o:r id="V:Rule24" type="connector" idref="#_x0000_s1075"/>
        <o:r id="V:Rule25" type="connector" idref="#_x0000_s1078"/>
        <o:r id="V:Rule26" type="connector" idref="#_x0000_s1046"/>
        <o:r id="V:Rule27" type="connector" idref="#_x0000_s1032"/>
        <o:r id="V:Rule28" type="connector" idref="#_x0000_s1081"/>
        <o:r id="V:Rule29" type="connector" idref="#_x0000_s1110"/>
        <o:r id="V:Rule30" type="connector" idref="#_x0000_s1077"/>
        <o:r id="V:Rule31" type="connector" idref="#_x0000_s1116"/>
        <o:r id="V:Rule32" type="connector" idref="#_x0000_s1112"/>
        <o:r id="V:Rule33" type="connector" idref="#_x0000_s1086"/>
        <o:r id="V:Rule34" type="connector" idref="#_x0000_s1030"/>
        <o:r id="V:Rule35" type="connector" idref="#_x0000_s1109"/>
        <o:r id="V:Rule36" type="connector" idref="#_x0000_s1043"/>
        <o:r id="V:Rule37" type="connector" idref="#_x0000_s1076"/>
        <o:r id="V:Rule38" type="connector" idref="#_x0000_s1113"/>
        <o:r id="V:Rule39" type="connector" idref="#_x0000_s1079"/>
        <o:r id="V:Rule40" type="connector" idref="#_x0000_s1038"/>
        <o:r id="V:Rule41" type="connector" idref="#_x0000_s1085"/>
        <o:r id="V:Rule42" type="connector" idref="#_x0000_s10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Tahoma" w:hAnsi="Tahoma" w:cs="Tahoma"/>
      <w:sz w:val="16"/>
      <w:szCs w:val="16"/>
    </w:rPr>
  </w:style>
  <w:style w:type="paragraph" w:styleId="BodyText">
    <w:name w:val="Body Text"/>
    <w:basedOn w:val="Normal"/>
    <w:uiPriority w:val="99"/>
    <w:unhideWhenUsed/>
    <w:qFormat/>
    <w:pPr>
      <w:spacing w:after="120"/>
    </w:pPr>
  </w:style>
  <w:style w:type="paragraph" w:styleId="BodyTextIndent2">
    <w:name w:val="Body Text Indent 2"/>
    <w:basedOn w:val="Normal"/>
    <w:qFormat/>
    <w:pPr>
      <w:spacing w:line="360" w:lineRule="auto"/>
      <w:ind w:left="360" w:firstLine="720"/>
      <w:jc w:val="both"/>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Autospacing="1" w:after="0" w:afterAutospacing="1"/>
    </w:pPr>
    <w:rPr>
      <w:rFonts w:cs="Times New Roman"/>
      <w:sz w:val="24"/>
      <w:szCs w:val="24"/>
      <w:lang w:eastAsia="zh-CN"/>
    </w:rPr>
  </w:style>
  <w:style w:type="paragraph" w:styleId="Title">
    <w:name w:val="Title"/>
    <w:basedOn w:val="Normal"/>
    <w:link w:val="TitleChar"/>
    <w:uiPriority w:val="10"/>
    <w:qFormat/>
    <w:pPr>
      <w:spacing w:after="0" w:line="240" w:lineRule="auto"/>
      <w:jc w:val="center"/>
    </w:pPr>
    <w:rPr>
      <w:rFonts w:ascii="Century Gothic" w:eastAsia="Times New Roman" w:hAnsi="Century Gothic" w:cs="Times New Roman"/>
      <w:sz w:val="32"/>
      <w:szCs w:val="24"/>
      <w:lang w:val="id-ID"/>
    </w:rPr>
  </w:style>
  <w:style w:type="character" w:styleId="Hyperlink">
    <w:name w:val="Hyperlink"/>
    <w:basedOn w:val="DefaultParagraphFont"/>
    <w:uiPriority w:val="99"/>
    <w:semiHidden/>
    <w:unhideWhenUsed/>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NoSpacing">
    <w:name w:val="No Spacing"/>
    <w:basedOn w:val="Normal"/>
    <w:link w:val="NoSpacingChar"/>
    <w:uiPriority w:val="1"/>
    <w:qFormat/>
    <w:pPr>
      <w:spacing w:after="0" w:line="240" w:lineRule="auto"/>
      <w:jc w:val="both"/>
    </w:pPr>
    <w:rPr>
      <w:sz w:val="20"/>
      <w:szCs w:val="20"/>
      <w:lang w:bidi="en-US"/>
    </w:rPr>
  </w:style>
  <w:style w:type="character" w:customStyle="1" w:styleId="NoSpacingChar">
    <w:name w:val="No Spacing Char"/>
    <w:basedOn w:val="DefaultParagraphFont"/>
    <w:link w:val="NoSpacing"/>
    <w:uiPriority w:val="1"/>
    <w:qFormat/>
    <w:rPr>
      <w:rFonts w:eastAsiaTheme="minorEastAsia"/>
      <w:sz w:val="20"/>
      <w:szCs w:val="20"/>
      <w:lang w:bidi="en-US"/>
    </w:rPr>
  </w:style>
  <w:style w:type="character" w:customStyle="1" w:styleId="TitleChar">
    <w:name w:val="Title Char"/>
    <w:basedOn w:val="DefaultParagraphFont"/>
    <w:link w:val="Title"/>
    <w:uiPriority w:val="10"/>
    <w:qFormat/>
    <w:rPr>
      <w:rFonts w:ascii="Century Gothic" w:eastAsia="Times New Roman" w:hAnsi="Century Gothic" w:cs="Times New Roman"/>
      <w:sz w:val="32"/>
      <w:szCs w:val="24"/>
      <w:lang w:val="id-ID"/>
    </w:rPr>
  </w:style>
  <w:style w:type="character" w:customStyle="1" w:styleId="apple-style-span">
    <w:name w:val="apple-style-span"/>
    <w:basedOn w:val="DefaultParagraphFont"/>
    <w:qFormat/>
  </w:style>
  <w:style w:type="character" w:customStyle="1" w:styleId="fullpost">
    <w:name w:val="fullpost"/>
    <w:basedOn w:val="DefaultParagraphFont"/>
    <w:qFormat/>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style>
  <w:style w:type="paragraph" w:customStyle="1" w:styleId="Default">
    <w:name w:val="Default"/>
    <w:qFormat/>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image" Target="media/image5.wmf"/><Relationship Id="rId39" Type="http://schemas.openxmlformats.org/officeDocument/2006/relationships/chart" Target="charts/chart9.xml"/><Relationship Id="rId21" Type="http://schemas.openxmlformats.org/officeDocument/2006/relationships/image" Target="media/image2.jpeg"/><Relationship Id="rId34" Type="http://schemas.openxmlformats.org/officeDocument/2006/relationships/chart" Target="charts/chart8.xml"/><Relationship Id="rId42" Type="http://schemas.openxmlformats.org/officeDocument/2006/relationships/chart" Target="charts/chart10.xml"/><Relationship Id="rId47" Type="http://schemas.openxmlformats.org/officeDocument/2006/relationships/image" Target="media/image14.jpeg"/><Relationship Id="rId50" Type="http://schemas.openxmlformats.org/officeDocument/2006/relationships/image" Target="media/image17.jpe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www.sumbarprov.go.id" TargetMode="External"/><Relationship Id="rId33" Type="http://schemas.openxmlformats.org/officeDocument/2006/relationships/oleObject" Target="embeddings/oleObject3.bin"/><Relationship Id="rId38" Type="http://schemas.openxmlformats.org/officeDocument/2006/relationships/image" Target="media/image11.jpeg"/><Relationship Id="rId46"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1.jpeg"/><Relationship Id="rId29" Type="http://schemas.openxmlformats.org/officeDocument/2006/relationships/chart" Target="charts/chart7.xml"/><Relationship Id="rId41" Type="http://schemas.openxmlformats.org/officeDocument/2006/relationships/oleObject" Target="embeddings/oleObject4.bin"/><Relationship Id="rId54" Type="http://schemas.openxmlformats.org/officeDocument/2006/relationships/chart" Target="charts/chart1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image" Target="media/image7.wmf"/><Relationship Id="rId37" Type="http://schemas.openxmlformats.org/officeDocument/2006/relationships/image" Target="media/image10.jpeg"/><Relationship Id="rId40" Type="http://schemas.openxmlformats.org/officeDocument/2006/relationships/image" Target="media/image12.wmf"/><Relationship Id="rId45" Type="http://schemas.openxmlformats.org/officeDocument/2006/relationships/chart" Target="charts/chart11.xml"/><Relationship Id="rId53" Type="http://schemas.openxmlformats.org/officeDocument/2006/relationships/chart" Target="charts/chart13.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chart" Target="charts/chart6.xml"/><Relationship Id="rId36" Type="http://schemas.openxmlformats.org/officeDocument/2006/relationships/image" Target="media/image9.jpeg"/><Relationship Id="rId49" Type="http://schemas.openxmlformats.org/officeDocument/2006/relationships/image" Target="media/image16.jpeg"/><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oleObject" Target="embeddings/oleObject2.bin"/><Relationship Id="rId44" Type="http://schemas.openxmlformats.org/officeDocument/2006/relationships/oleObject" Target="embeddings/oleObject5.bin"/><Relationship Id="rId52" Type="http://schemas.openxmlformats.org/officeDocument/2006/relationships/oleObject" Target="embeddings/oleObject6.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jpeg"/><Relationship Id="rId43" Type="http://schemas.openxmlformats.org/officeDocument/2006/relationships/image" Target="media/image13.wmf"/><Relationship Id="rId48" Type="http://schemas.openxmlformats.org/officeDocument/2006/relationships/image" Target="media/image15.jpe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8.wmf"/><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a:solidFill>
                  <a:schemeClr val="tx1"/>
                </a:solidFill>
                <a:uFillTx/>
              </a:rPr>
              <a:t>Tahun 2018</a:t>
            </a:r>
          </a:p>
        </c:rich>
      </c:tx>
      <c:overlay val="0"/>
      <c:spPr>
        <a:noFill/>
        <a:ln>
          <a:noFill/>
        </a:ln>
        <a:effectLst/>
      </c:spPr>
    </c:title>
    <c:autoTitleDeleted val="0"/>
    <c:plotArea>
      <c:layout>
        <c:manualLayout>
          <c:layoutTarget val="inner"/>
          <c:xMode val="edge"/>
          <c:yMode val="edge"/>
          <c:x val="0.17115792450162601"/>
          <c:y val="0.17590250632329299"/>
          <c:w val="0.67826947547009797"/>
          <c:h val="0.60827776500344899"/>
        </c:manualLayout>
      </c:layout>
      <c:barChart>
        <c:barDir val="bar"/>
        <c:grouping val="clustered"/>
        <c:varyColors val="0"/>
        <c:ser>
          <c:idx val="0"/>
          <c:order val="0"/>
          <c:tx>
            <c:strRef>
              <c:f>Sheet1!$B$1</c:f>
              <c:strCache>
                <c:ptCount val="1"/>
                <c:pt idx="0">
                  <c:v>Tahun 2018</c:v>
                </c:pt>
              </c:strCache>
            </c:strRef>
          </c:tx>
          <c:spPr>
            <a:solidFill>
              <a:srgbClr val="C00000"/>
            </a:solidFill>
            <a:ln>
              <a:noFill/>
            </a:ln>
            <a:effectLst/>
          </c:spPr>
          <c:invertIfNegative val="0"/>
          <c:dLbls>
            <c:dLbl>
              <c:idx val="0"/>
              <c:layout>
                <c:manualLayout>
                  <c:x val="-4.3828644139686096E-3"/>
                  <c:y val="-2.5293170843872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007210518874599E-2"/>
                  <c:y val="4.598758335249479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Perempuan</c:v>
                </c:pt>
                <c:pt idx="1">
                  <c:v>Laki-laki</c:v>
                </c:pt>
              </c:strCache>
            </c:strRef>
          </c:cat>
          <c:val>
            <c:numRef>
              <c:f>Sheet1!$B$2:$B$3</c:f>
              <c:numCache>
                <c:formatCode>General</c:formatCode>
                <c:ptCount val="2"/>
                <c:pt idx="0">
                  <c:v>17</c:v>
                </c:pt>
                <c:pt idx="1">
                  <c:v>28</c:v>
                </c:pt>
              </c:numCache>
            </c:numRef>
          </c:val>
        </c:ser>
        <c:dLbls>
          <c:showLegendKey val="0"/>
          <c:showVal val="1"/>
          <c:showCatName val="0"/>
          <c:showSerName val="0"/>
          <c:showPercent val="0"/>
          <c:showBubbleSize val="0"/>
        </c:dLbls>
        <c:gapWidth val="182"/>
        <c:axId val="357167488"/>
        <c:axId val="357170560"/>
      </c:barChart>
      <c:catAx>
        <c:axId val="3571674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crossAx val="357170560"/>
        <c:crosses val="autoZero"/>
        <c:auto val="0"/>
        <c:lblAlgn val="ctr"/>
        <c:lblOffset val="100"/>
        <c:noMultiLvlLbl val="0"/>
      </c:catAx>
      <c:valAx>
        <c:axId val="357170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57167488"/>
        <c:crosses val="autoZero"/>
        <c:crossBetween val="between"/>
      </c:valAx>
      <c:spPr>
        <a:noFill/>
        <a:ln w="25400">
          <a:solidFill>
            <a:schemeClr val="tx1"/>
          </a:solidFill>
        </a:ln>
        <a:effectLst/>
      </c:spPr>
    </c:plotArea>
    <c:legend>
      <c:legendPos val="b"/>
      <c:legendEntry>
        <c:idx val="0"/>
        <c:txPr>
          <a:bodyPr rot="0" spcFirstLastPara="0" vertOverflow="ellipsis" vert="horz" wrap="square" anchor="ctr" anchorCtr="1"/>
          <a:lstStyle/>
          <a:p>
            <a:pPr>
              <a:defRPr lang="en-US"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en-US"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lang="en-US"/>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93881453154901E-2"/>
          <c:y val="7.0397111913357402E-2"/>
          <c:w val="0.73367932258945601"/>
          <c:h val="0.77527075812274404"/>
        </c:manualLayout>
      </c:layout>
      <c:barChart>
        <c:barDir val="col"/>
        <c:grouping val="clustered"/>
        <c:varyColors val="0"/>
        <c:ser>
          <c:idx val="0"/>
          <c:order val="0"/>
          <c:tx>
            <c:strRef>
              <c:f>Sheet1!$B$1</c:f>
              <c:strCache>
                <c:ptCount val="1"/>
                <c:pt idx="0">
                  <c:v>Realisasi</c:v>
                </c:pt>
              </c:strCache>
            </c:strRef>
          </c:tx>
          <c:spPr>
            <a:solidFill>
              <a:srgbClr val="006600"/>
            </a:solidFill>
          </c:spPr>
          <c:invertIfNegative val="0"/>
          <c:cat>
            <c:strRef>
              <c:f>Sheet1!$A$2:$A$4</c:f>
              <c:strCache>
                <c:ptCount val="3"/>
                <c:pt idx="0">
                  <c:v>Tahun 2016</c:v>
                </c:pt>
                <c:pt idx="1">
                  <c:v>Tahun 2017</c:v>
                </c:pt>
                <c:pt idx="2">
                  <c:v>Tahun 2018</c:v>
                </c:pt>
              </c:strCache>
            </c:strRef>
          </c:cat>
          <c:val>
            <c:numRef>
              <c:f>Sheet1!$B$2:$B$4</c:f>
              <c:numCache>
                <c:formatCode>General</c:formatCode>
                <c:ptCount val="3"/>
                <c:pt idx="0">
                  <c:v>20</c:v>
                </c:pt>
                <c:pt idx="1">
                  <c:v>25</c:v>
                </c:pt>
                <c:pt idx="2">
                  <c:v>33</c:v>
                </c:pt>
              </c:numCache>
            </c:numRef>
          </c:val>
        </c:ser>
        <c:ser>
          <c:idx val="1"/>
          <c:order val="1"/>
          <c:tx>
            <c:strRef>
              <c:f>Sheet1!$C$1</c:f>
              <c:strCache>
                <c:ptCount val="1"/>
                <c:pt idx="0">
                  <c:v>Capaian</c:v>
                </c:pt>
              </c:strCache>
            </c:strRef>
          </c:tx>
          <c:invertIfNegative val="0"/>
          <c:cat>
            <c:strRef>
              <c:f>Sheet1!$A$2:$A$4</c:f>
              <c:strCache>
                <c:ptCount val="3"/>
                <c:pt idx="0">
                  <c:v>Tahun 2016</c:v>
                </c:pt>
                <c:pt idx="1">
                  <c:v>Tahun 2017</c:v>
                </c:pt>
                <c:pt idx="2">
                  <c:v>Tahun 2018</c:v>
                </c:pt>
              </c:strCache>
            </c:strRef>
          </c:cat>
          <c:val>
            <c:numRef>
              <c:f>Sheet1!$C$2:$C$4</c:f>
              <c:numCache>
                <c:formatCode>General</c:formatCode>
                <c:ptCount val="3"/>
                <c:pt idx="0">
                  <c:v>400</c:v>
                </c:pt>
                <c:pt idx="1">
                  <c:v>500</c:v>
                </c:pt>
                <c:pt idx="2">
                  <c:v>660</c:v>
                </c:pt>
              </c:numCache>
            </c:numRef>
          </c:val>
        </c:ser>
        <c:dLbls>
          <c:showLegendKey val="0"/>
          <c:showVal val="0"/>
          <c:showCatName val="0"/>
          <c:showSerName val="0"/>
          <c:showPercent val="0"/>
          <c:showBubbleSize val="0"/>
        </c:dLbls>
        <c:gapWidth val="150"/>
        <c:axId val="319459328"/>
        <c:axId val="319460864"/>
      </c:barChart>
      <c:catAx>
        <c:axId val="31945932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9460864"/>
        <c:crosses val="autoZero"/>
        <c:auto val="1"/>
        <c:lblAlgn val="ctr"/>
        <c:lblOffset val="100"/>
        <c:noMultiLvlLbl val="0"/>
      </c:catAx>
      <c:valAx>
        <c:axId val="3194608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945932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en-US" sz="1800" b="1" i="0" u="none" strike="noStrike" kern="1200" baseline="0">
                <a:solidFill>
                  <a:schemeClr val="tx1"/>
                </a:solidFill>
                <a:latin typeface="+mn-lt"/>
                <a:ea typeface="+mn-ea"/>
                <a:cs typeface="+mn-cs"/>
              </a:defRPr>
            </a:pPr>
            <a:r>
              <a:rPr lang="en-US" sz="1200"/>
              <a:t>Grafik</a:t>
            </a:r>
            <a:r>
              <a:rPr lang="en-US" sz="1200" baseline="0"/>
              <a:t> 3.7.</a:t>
            </a:r>
          </a:p>
          <a:p>
            <a:pPr algn="ctr">
              <a:defRPr lang="en-US" sz="1800" b="1" i="0" u="none" strike="noStrike" kern="1200" baseline="0">
                <a:solidFill>
                  <a:schemeClr val="tx1"/>
                </a:solidFill>
                <a:latin typeface="+mn-lt"/>
                <a:ea typeface="+mn-ea"/>
                <a:cs typeface="+mn-cs"/>
              </a:defRPr>
            </a:pPr>
            <a:r>
              <a:rPr lang="en-US" sz="1200" baseline="0"/>
              <a:t>Perbandingan jumlah angka kriminalitas di Sumbar </a:t>
            </a:r>
          </a:p>
          <a:p>
            <a:pPr algn="ctr">
              <a:defRPr lang="en-US" sz="1800" b="1" i="0" u="none" strike="noStrike" kern="1200" baseline="0">
                <a:solidFill>
                  <a:schemeClr val="tx1"/>
                </a:solidFill>
                <a:latin typeface="+mn-lt"/>
                <a:ea typeface="+mn-ea"/>
                <a:cs typeface="+mn-cs"/>
              </a:defRPr>
            </a:pPr>
            <a:r>
              <a:rPr lang="en-US" sz="1200" baseline="0"/>
              <a:t>tahun 2016-2018</a:t>
            </a:r>
            <a:endParaRPr lang="en-US" sz="1200"/>
          </a:p>
        </c:rich>
      </c:tx>
      <c:layout>
        <c:manualLayout>
          <c:xMode val="edge"/>
          <c:yMode val="edge"/>
          <c:x val="0.12657768750906701"/>
          <c:y val="3.3260801989431099E-2"/>
        </c:manualLayout>
      </c:layout>
      <c:overlay val="0"/>
    </c:title>
    <c:autoTitleDeleted val="0"/>
    <c:plotArea>
      <c:layout/>
      <c:barChart>
        <c:barDir val="col"/>
        <c:grouping val="clustered"/>
        <c:varyColors val="0"/>
        <c:ser>
          <c:idx val="0"/>
          <c:order val="0"/>
          <c:tx>
            <c:strRef>
              <c:f>Sheet1!$B$1</c:f>
              <c:strCache>
                <c:ptCount val="1"/>
                <c:pt idx="0">
                  <c:v>Jumlah angka kriminalitas</c:v>
                </c:pt>
              </c:strCache>
            </c:strRef>
          </c:tx>
          <c:spPr>
            <a:gradFill>
              <a:gsLst>
                <a:gs pos="0">
                  <a:srgbClr val="E30000"/>
                </a:gs>
                <a:gs pos="100000">
                  <a:srgbClr val="760303"/>
                </a:gs>
              </a:gsLst>
              <a:lin ang="5400000" scaled="0"/>
            </a:gradFill>
          </c:spPr>
          <c:invertIfNegative val="0"/>
          <c:cat>
            <c:strRef>
              <c:f>Sheet1!$A$2:$A$4</c:f>
              <c:strCache>
                <c:ptCount val="3"/>
                <c:pt idx="0">
                  <c:v>Tahun 2016</c:v>
                </c:pt>
                <c:pt idx="1">
                  <c:v>Tahun 2017</c:v>
                </c:pt>
                <c:pt idx="2">
                  <c:v>Tahun 2018</c:v>
                </c:pt>
              </c:strCache>
            </c:strRef>
          </c:cat>
          <c:val>
            <c:numRef>
              <c:f>Sheet1!$B$2:$B$4</c:f>
              <c:numCache>
                <c:formatCode>General</c:formatCode>
                <c:ptCount val="3"/>
                <c:pt idx="0">
                  <c:v>12905</c:v>
                </c:pt>
                <c:pt idx="1">
                  <c:v>12680</c:v>
                </c:pt>
                <c:pt idx="2">
                  <c:v>11934</c:v>
                </c:pt>
              </c:numCache>
            </c:numRef>
          </c:val>
        </c:ser>
        <c:dLbls>
          <c:showLegendKey val="0"/>
          <c:showVal val="0"/>
          <c:showCatName val="0"/>
          <c:showSerName val="0"/>
          <c:showPercent val="0"/>
          <c:showBubbleSize val="0"/>
        </c:dLbls>
        <c:gapWidth val="150"/>
        <c:axId val="319480960"/>
        <c:axId val="319482496"/>
      </c:barChart>
      <c:catAx>
        <c:axId val="31948096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9482496"/>
        <c:crosses val="autoZero"/>
        <c:auto val="1"/>
        <c:lblAlgn val="ctr"/>
        <c:lblOffset val="100"/>
        <c:noMultiLvlLbl val="0"/>
      </c:catAx>
      <c:valAx>
        <c:axId val="319482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948096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4409709452001"/>
          <c:y val="7.1428571428571397E-2"/>
          <c:w val="0.64803236484001503"/>
          <c:h val="0.79799612152553301"/>
        </c:manualLayout>
      </c:layout>
      <c:barChart>
        <c:barDir val="col"/>
        <c:grouping val="clustered"/>
        <c:varyColors val="0"/>
        <c:ser>
          <c:idx val="0"/>
          <c:order val="0"/>
          <c:tx>
            <c:strRef>
              <c:f>Sheet1!$B$1</c:f>
              <c:strCache>
                <c:ptCount val="1"/>
                <c:pt idx="0">
                  <c:v>Realisasi</c:v>
                </c:pt>
              </c:strCache>
            </c:strRef>
          </c:tx>
          <c:invertIfNegative val="0"/>
          <c:cat>
            <c:strRef>
              <c:f>Sheet1!$A$2:$A$4</c:f>
              <c:strCache>
                <c:ptCount val="3"/>
                <c:pt idx="0">
                  <c:v>Tahun 2016</c:v>
                </c:pt>
                <c:pt idx="1">
                  <c:v>Tahun 2017</c:v>
                </c:pt>
                <c:pt idx="2">
                  <c:v>Tahun 2018</c:v>
                </c:pt>
              </c:strCache>
            </c:strRef>
          </c:cat>
          <c:val>
            <c:numRef>
              <c:f>Sheet1!$B$2:$B$4</c:f>
              <c:numCache>
                <c:formatCode>General</c:formatCode>
                <c:ptCount val="3"/>
                <c:pt idx="0">
                  <c:v>1.94</c:v>
                </c:pt>
                <c:pt idx="1">
                  <c:v>6.21</c:v>
                </c:pt>
                <c:pt idx="2">
                  <c:v>8.5</c:v>
                </c:pt>
              </c:numCache>
            </c:numRef>
          </c:val>
        </c:ser>
        <c:ser>
          <c:idx val="1"/>
          <c:order val="1"/>
          <c:tx>
            <c:strRef>
              <c:f>Sheet1!$C$1</c:f>
              <c:strCache>
                <c:ptCount val="1"/>
                <c:pt idx="0">
                  <c:v>Capaian</c:v>
                </c:pt>
              </c:strCache>
            </c:strRef>
          </c:tx>
          <c:invertIfNegative val="0"/>
          <c:cat>
            <c:strRef>
              <c:f>Sheet1!$A$2:$A$4</c:f>
              <c:strCache>
                <c:ptCount val="3"/>
                <c:pt idx="0">
                  <c:v>Tahun 2016</c:v>
                </c:pt>
                <c:pt idx="1">
                  <c:v>Tahun 2017</c:v>
                </c:pt>
                <c:pt idx="2">
                  <c:v>Tahun 2018</c:v>
                </c:pt>
              </c:strCache>
            </c:strRef>
          </c:cat>
          <c:val>
            <c:numRef>
              <c:f>Sheet1!$C$2:$C$4</c:f>
              <c:numCache>
                <c:formatCode>General</c:formatCode>
                <c:ptCount val="3"/>
                <c:pt idx="0">
                  <c:v>38.799999999999997</c:v>
                </c:pt>
                <c:pt idx="1">
                  <c:v>124.2</c:v>
                </c:pt>
                <c:pt idx="2">
                  <c:v>170</c:v>
                </c:pt>
              </c:numCache>
            </c:numRef>
          </c:val>
        </c:ser>
        <c:dLbls>
          <c:showLegendKey val="0"/>
          <c:showVal val="0"/>
          <c:showCatName val="0"/>
          <c:showSerName val="0"/>
          <c:showPercent val="0"/>
          <c:showBubbleSize val="0"/>
        </c:dLbls>
        <c:gapWidth val="150"/>
        <c:axId val="319548800"/>
        <c:axId val="319726720"/>
      </c:barChart>
      <c:catAx>
        <c:axId val="31954880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crossAx val="319726720"/>
        <c:crosses val="autoZero"/>
        <c:auto val="1"/>
        <c:lblAlgn val="ctr"/>
        <c:lblOffset val="100"/>
        <c:noMultiLvlLbl val="0"/>
      </c:catAx>
      <c:valAx>
        <c:axId val="319726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crossAx val="319548800"/>
        <c:crosses val="autoZero"/>
        <c:crossBetween val="between"/>
        <c:majorUnit val="20"/>
      </c:valAx>
      <c:spPr>
        <a:solidFill>
          <a:schemeClr val="bg1"/>
        </a:solidFill>
        <a:ln>
          <a:noFill/>
        </a:ln>
        <a:effectLst/>
      </c:spPr>
    </c:plotArea>
    <c:legend>
      <c:legendPos val="r"/>
      <c:legendEntry>
        <c:idx val="0"/>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legendEntry>
      <c:overlay val="0"/>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b="1"/>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050"/>
              <a:t>Grafik 3.9</a:t>
            </a:r>
          </a:p>
          <a:p>
            <a:pPr>
              <a:defRPr lang="en-US" sz="1800" b="1" i="0" u="none" strike="noStrike" kern="1200" baseline="0">
                <a:solidFill>
                  <a:schemeClr val="tx1"/>
                </a:solidFill>
                <a:latin typeface="+mn-lt"/>
                <a:ea typeface="+mn-ea"/>
                <a:cs typeface="+mn-cs"/>
              </a:defRPr>
            </a:pPr>
            <a:r>
              <a:rPr lang="en-US" sz="1050"/>
              <a:t>Nilai IDI di Sumbar</a:t>
            </a:r>
          </a:p>
        </c:rich>
      </c:tx>
      <c:overlay val="0"/>
    </c:title>
    <c:autoTitleDeleted val="0"/>
    <c:plotArea>
      <c:layout/>
      <c:barChart>
        <c:barDir val="col"/>
        <c:grouping val="clustered"/>
        <c:varyColors val="0"/>
        <c:ser>
          <c:idx val="0"/>
          <c:order val="0"/>
          <c:tx>
            <c:strRef>
              <c:f>Sheet1!$B$1</c:f>
              <c:strCache>
                <c:ptCount val="1"/>
                <c:pt idx="0">
                  <c:v>Nilai IDI di Sumbar</c:v>
                </c:pt>
              </c:strCache>
            </c:strRef>
          </c:tx>
          <c:spPr>
            <a:solidFill>
              <a:srgbClr val="006600"/>
            </a:solidFill>
          </c:spPr>
          <c:invertIfNegative val="0"/>
          <c:dPt>
            <c:idx val="0"/>
            <c:invertIfNegative val="0"/>
            <c:bubble3D val="0"/>
            <c:spPr>
              <a:gradFill>
                <a:gsLst>
                  <a:gs pos="0">
                    <a:srgbClr val="E30000"/>
                  </a:gs>
                  <a:gs pos="100000">
                    <a:srgbClr val="760303"/>
                  </a:gs>
                </a:gsLst>
                <a:lin ang="5400000" scaled="0"/>
              </a:gradFill>
            </c:spPr>
          </c:dPt>
          <c:dPt>
            <c:idx val="1"/>
            <c:invertIfNegative val="0"/>
            <c:bubble3D val="0"/>
            <c:spPr>
              <a:solidFill>
                <a:srgbClr val="C00000"/>
              </a:solidFill>
            </c:spPr>
          </c:dPt>
          <c:dPt>
            <c:idx val="2"/>
            <c:invertIfNegative val="0"/>
            <c:bubble3D val="0"/>
            <c:spPr>
              <a:solidFill>
                <a:srgbClr val="C00000"/>
              </a:solidFill>
            </c:spPr>
          </c:dPt>
          <c:cat>
            <c:strRef>
              <c:f>Sheet1!$A$2:$A$4</c:f>
              <c:strCache>
                <c:ptCount val="3"/>
                <c:pt idx="0">
                  <c:v>Tahun 2016</c:v>
                </c:pt>
                <c:pt idx="1">
                  <c:v>Tahun 2017</c:v>
                </c:pt>
                <c:pt idx="2">
                  <c:v>Tahun 2018</c:v>
                </c:pt>
              </c:strCache>
            </c:strRef>
          </c:cat>
          <c:val>
            <c:numRef>
              <c:f>Sheet1!$B$2:$B$4</c:f>
              <c:numCache>
                <c:formatCode>General</c:formatCode>
                <c:ptCount val="3"/>
                <c:pt idx="0">
                  <c:v>67.459999999999994</c:v>
                </c:pt>
                <c:pt idx="1">
                  <c:v>54.41</c:v>
                </c:pt>
                <c:pt idx="2">
                  <c:v>69.5</c:v>
                </c:pt>
              </c:numCache>
            </c:numRef>
          </c:val>
        </c:ser>
        <c:dLbls>
          <c:showLegendKey val="0"/>
          <c:showVal val="0"/>
          <c:showCatName val="0"/>
          <c:showSerName val="0"/>
          <c:showPercent val="0"/>
          <c:showBubbleSize val="0"/>
        </c:dLbls>
        <c:gapWidth val="150"/>
        <c:axId val="319793792"/>
        <c:axId val="319824256"/>
      </c:barChart>
      <c:catAx>
        <c:axId val="31979379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9824256"/>
        <c:crosses val="autoZero"/>
        <c:auto val="1"/>
        <c:lblAlgn val="ctr"/>
        <c:lblOffset val="100"/>
        <c:noMultiLvlLbl val="0"/>
      </c:catAx>
      <c:valAx>
        <c:axId val="319824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9793792"/>
        <c:crosses val="autoZero"/>
        <c:crossBetween val="between"/>
      </c:valAx>
      <c:spPr>
        <a:solidFill>
          <a:schemeClr val="bg1"/>
        </a:solidFill>
        <a:ln>
          <a:noFill/>
        </a:ln>
        <a:effectLst/>
      </c:spPr>
    </c:plotArea>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Realisasi</c:v>
                </c:pt>
              </c:strCache>
            </c:strRef>
          </c:tx>
          <c:invertIfNegative val="0"/>
          <c:cat>
            <c:strRef>
              <c:f>Sheet1!$A$2:$A$4</c:f>
              <c:strCache>
                <c:ptCount val="3"/>
                <c:pt idx="0">
                  <c:v>Tahun 2016</c:v>
                </c:pt>
                <c:pt idx="1">
                  <c:v>Tahun 2017</c:v>
                </c:pt>
                <c:pt idx="2">
                  <c:v>Tahun 2018</c:v>
                </c:pt>
              </c:strCache>
            </c:strRef>
          </c:cat>
          <c:val>
            <c:numRef>
              <c:f>Sheet1!$B$2:$B$4</c:f>
              <c:numCache>
                <c:formatCode>General</c:formatCode>
                <c:ptCount val="3"/>
                <c:pt idx="0">
                  <c:v>67.459999999999994</c:v>
                </c:pt>
                <c:pt idx="1">
                  <c:v>54.41</c:v>
                </c:pt>
                <c:pt idx="2">
                  <c:v>69.5</c:v>
                </c:pt>
              </c:numCache>
            </c:numRef>
          </c:val>
        </c:ser>
        <c:ser>
          <c:idx val="1"/>
          <c:order val="1"/>
          <c:tx>
            <c:strRef>
              <c:f>Sheet1!$C$1</c:f>
              <c:strCache>
                <c:ptCount val="1"/>
                <c:pt idx="0">
                  <c:v>Capaian</c:v>
                </c:pt>
              </c:strCache>
            </c:strRef>
          </c:tx>
          <c:invertIfNegative val="0"/>
          <c:cat>
            <c:strRef>
              <c:f>Sheet1!$A$2:$A$4</c:f>
              <c:strCache>
                <c:ptCount val="3"/>
                <c:pt idx="0">
                  <c:v>Tahun 2016</c:v>
                </c:pt>
                <c:pt idx="1">
                  <c:v>Tahun 2017</c:v>
                </c:pt>
                <c:pt idx="2">
                  <c:v>Tahun 2018</c:v>
                </c:pt>
              </c:strCache>
            </c:strRef>
          </c:cat>
          <c:val>
            <c:numRef>
              <c:f>Sheet1!$C$2:$C$4</c:f>
              <c:numCache>
                <c:formatCode>General</c:formatCode>
                <c:ptCount val="3"/>
                <c:pt idx="0">
                  <c:v>112.43</c:v>
                </c:pt>
                <c:pt idx="1">
                  <c:v>80.010000000000005</c:v>
                </c:pt>
                <c:pt idx="2">
                  <c:v>99.28</c:v>
                </c:pt>
              </c:numCache>
            </c:numRef>
          </c:val>
        </c:ser>
        <c:dLbls>
          <c:showLegendKey val="0"/>
          <c:showVal val="0"/>
          <c:showCatName val="0"/>
          <c:showSerName val="0"/>
          <c:showPercent val="0"/>
          <c:showBubbleSize val="0"/>
        </c:dLbls>
        <c:gapWidth val="150"/>
        <c:axId val="320017152"/>
        <c:axId val="320018688"/>
      </c:barChart>
      <c:catAx>
        <c:axId val="32001715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0018688"/>
        <c:crosses val="autoZero"/>
        <c:auto val="1"/>
        <c:lblAlgn val="ctr"/>
        <c:lblOffset val="100"/>
        <c:noMultiLvlLbl val="0"/>
      </c:catAx>
      <c:valAx>
        <c:axId val="320018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001715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b="1">
                <a:solidFill>
                  <a:schemeClr val="tx1"/>
                </a:solidFill>
              </a:rPr>
              <a:t>Tahun </a:t>
            </a:r>
            <a:r>
              <a:rPr lang="en-US" b="1">
                <a:solidFill>
                  <a:schemeClr val="tx1"/>
                </a:solidFill>
                <a:uFillTx/>
              </a:rPr>
              <a:t>2018</a:t>
            </a:r>
          </a:p>
        </c:rich>
      </c:tx>
      <c:overlay val="0"/>
      <c:spPr>
        <a:noFill/>
        <a:ln>
          <a:noFill/>
        </a:ln>
        <a:effectLst/>
      </c:spPr>
    </c:title>
    <c:autoTitleDeleted val="0"/>
    <c:plotArea>
      <c:layout>
        <c:manualLayout>
          <c:layoutTarget val="inner"/>
          <c:xMode val="edge"/>
          <c:yMode val="edge"/>
          <c:x val="0.22964930924548399"/>
          <c:y val="0.16412931667891301"/>
          <c:w val="0.55746841421655402"/>
          <c:h val="0.69378398236590699"/>
        </c:manualLayout>
      </c:layout>
      <c:doughnutChart>
        <c:varyColors val="1"/>
        <c:ser>
          <c:idx val="0"/>
          <c:order val="0"/>
          <c:tx>
            <c:strRef>
              <c:f>Sheet1!$B$1</c:f>
              <c:strCache>
                <c:ptCount val="1"/>
                <c:pt idx="0">
                  <c:v>Tahun 2018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delete val="1"/>
            </c:dLbl>
            <c:dLbl>
              <c:idx val="1"/>
              <c:tx>
                <c:rich>
                  <a:bodyPr/>
                  <a:lstStyle/>
                  <a:p>
                    <a:r>
                      <a:rPr lang="en-US" sz="1000" b="1" u="none" strike="noStrike" cap="none" normalizeH="0">
                        <a:solidFill>
                          <a:schemeClr val="tx1"/>
                        </a:solidFill>
                        <a:uFill>
                          <a:solidFill>
                            <a:schemeClr val="tx1">
                              <a:lumMod val="75000"/>
                              <a:lumOff val="25000"/>
                            </a:schemeClr>
                          </a:solidFill>
                        </a:uFill>
                      </a:rPr>
                      <a:t>SLTA </a:t>
                    </a:r>
                  </a:p>
                  <a:p>
                    <a:r>
                      <a:rPr lang="en-US" sz="1000" b="1" u="none" strike="noStrike" cap="none" normalizeH="0">
                        <a:solidFill>
                          <a:schemeClr val="tx1"/>
                        </a:solidFill>
                        <a:uFill>
                          <a:solidFill>
                            <a:schemeClr val="tx1">
                              <a:lumMod val="75000"/>
                              <a:lumOff val="25000"/>
                            </a:schemeClr>
                          </a:solidFill>
                        </a:uFill>
                      </a:rPr>
                      <a:t>36%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8.58694105837709E-2"/>
                  <c:y val="2.7054490331085899E-2"/>
                </c:manualLayout>
              </c:layout>
              <c:tx>
                <c:rich>
                  <a:bodyPr/>
                  <a:lstStyle/>
                  <a:p>
                    <a:r>
                      <a:rPr lang="en-US" sz="1000" b="1" u="none" strike="noStrike" cap="none" normalizeH="0">
                        <a:solidFill>
                          <a:schemeClr val="tx1"/>
                        </a:solidFill>
                        <a:uFill>
                          <a:solidFill>
                            <a:schemeClr val="tx1">
                              <a:lumMod val="75000"/>
                              <a:lumOff val="25000"/>
                            </a:schemeClr>
                          </a:solidFill>
                        </a:uFill>
                      </a:rPr>
                      <a:t>DIPLOMA-1 2%</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994922659109699E-2"/>
                  <c:y val="-3.9088905216752401E-2"/>
                </c:manualLayout>
              </c:layout>
              <c:tx>
                <c:rich>
                  <a:bodyPr/>
                  <a:lstStyle/>
                  <a:p>
                    <a:r>
                      <a:rPr lang="en-US" sz="1000" b="1" u="none" strike="noStrike" cap="none" normalizeH="0">
                        <a:solidFill>
                          <a:schemeClr val="tx1"/>
                        </a:solidFill>
                        <a:uFill>
                          <a:solidFill>
                            <a:schemeClr val="tx1">
                              <a:lumMod val="75000"/>
                              <a:lumOff val="25000"/>
                            </a:schemeClr>
                          </a:solidFill>
                        </a:uFill>
                      </a:rPr>
                      <a:t>SLTP</a:t>
                    </a:r>
                  </a:p>
                  <a:p>
                    <a:r>
                      <a:rPr lang="en-US" sz="1000" b="1" u="none" strike="noStrike" cap="none" normalizeH="0">
                        <a:solidFill>
                          <a:schemeClr val="tx1"/>
                        </a:solidFill>
                        <a:uFill>
                          <a:solidFill>
                            <a:schemeClr val="tx1">
                              <a:lumMod val="75000"/>
                              <a:lumOff val="25000"/>
                            </a:schemeClr>
                          </a:solidFill>
                        </a:uFill>
                      </a:rPr>
                      <a:t> 0%</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5389179262608E-3"/>
                  <c:y val="-3.8636363636363601E-2"/>
                </c:manualLayout>
              </c:layout>
              <c:tx>
                <c:rich>
                  <a:bodyPr/>
                  <a:lstStyle/>
                  <a:p>
                    <a:r>
                      <a:rPr lang="en-US" sz="1000" b="1" u="none" strike="noStrike" cap="none" normalizeH="0">
                        <a:solidFill>
                          <a:schemeClr val="tx1"/>
                        </a:solidFill>
                        <a:uFill>
                          <a:solidFill>
                            <a:schemeClr val="tx1">
                              <a:lumMod val="75000"/>
                              <a:lumOff val="25000"/>
                            </a:schemeClr>
                          </a:solidFill>
                        </a:uFill>
                      </a:rPr>
                      <a:t>STRATA 1 </a:t>
                    </a:r>
                  </a:p>
                  <a:p>
                    <a:r>
                      <a:rPr lang="en-US" sz="1000" b="1" u="none" strike="noStrike" cap="none" normalizeH="0">
                        <a:solidFill>
                          <a:schemeClr val="tx1"/>
                        </a:solidFill>
                        <a:uFill>
                          <a:solidFill>
                            <a:schemeClr val="tx1">
                              <a:lumMod val="75000"/>
                              <a:lumOff val="25000"/>
                            </a:schemeClr>
                          </a:solidFill>
                        </a:uFill>
                      </a:rPr>
                      <a:t>47%</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6131774707757698E-2"/>
                  <c:y val="9.1109478324761205E-3"/>
                </c:manualLayout>
              </c:layout>
              <c:tx>
                <c:rich>
                  <a:bodyPr/>
                  <a:lstStyle/>
                  <a:p>
                    <a:r>
                      <a:rPr lang="en-US" sz="1000" b="1" u="none" strike="noStrike" cap="none" normalizeH="0">
                        <a:solidFill>
                          <a:schemeClr val="tx1"/>
                        </a:solidFill>
                        <a:uFill>
                          <a:solidFill>
                            <a:schemeClr val="tx1">
                              <a:lumMod val="75000"/>
                              <a:lumOff val="25000"/>
                            </a:schemeClr>
                          </a:solidFill>
                        </a:uFill>
                      </a:rPr>
                      <a:t>STRATA 2 15%</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1807769512339099E-3"/>
                  <c:y val="-3.5855988243938298E-2"/>
                </c:manualLayout>
              </c:layout>
              <c:tx>
                <c:rich>
                  <a:bodyPr/>
                  <a:lstStyle/>
                  <a:p>
                    <a:r>
                      <a:rPr lang="en-US" sz="1000" b="1" u="none" strike="noStrike" cap="none" normalizeH="0">
                        <a:solidFill>
                          <a:schemeClr val="tx1"/>
                        </a:solidFill>
                        <a:uFill>
                          <a:solidFill>
                            <a:schemeClr val="tx1">
                              <a:lumMod val="75000"/>
                              <a:lumOff val="25000"/>
                            </a:schemeClr>
                          </a:solidFill>
                        </a:uFill>
                      </a:rPr>
                      <a:t>STRATA 3 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SLTP</c:v>
                </c:pt>
                <c:pt idx="1">
                  <c:v>SLTA</c:v>
                </c:pt>
                <c:pt idx="2">
                  <c:v>DIPLOMA-1</c:v>
                </c:pt>
                <c:pt idx="3">
                  <c:v>DIPLOMA-2</c:v>
                </c:pt>
                <c:pt idx="4">
                  <c:v>STRATA 1</c:v>
                </c:pt>
                <c:pt idx="5">
                  <c:v>STRATA 2</c:v>
                </c:pt>
                <c:pt idx="6">
                  <c:v>STRATA 3</c:v>
                </c:pt>
              </c:strCache>
            </c:strRef>
          </c:cat>
          <c:val>
            <c:numRef>
              <c:f>Sheet1!$B$2:$B$8</c:f>
              <c:numCache>
                <c:formatCode>General</c:formatCode>
                <c:ptCount val="7"/>
                <c:pt idx="0">
                  <c:v>0</c:v>
                </c:pt>
                <c:pt idx="1">
                  <c:v>36</c:v>
                </c:pt>
                <c:pt idx="2">
                  <c:v>2</c:v>
                </c:pt>
                <c:pt idx="3">
                  <c:v>0</c:v>
                </c:pt>
                <c:pt idx="4">
                  <c:v>47</c:v>
                </c:pt>
                <c:pt idx="5">
                  <c:v>15</c:v>
                </c:pt>
                <c:pt idx="6">
                  <c:v>0</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2"/>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3"/>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4"/>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5"/>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6"/>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ayout>
        <c:manualLayout>
          <c:xMode val="edge"/>
          <c:yMode val="edge"/>
          <c:x val="1.3572275662142599E-2"/>
          <c:y val="0.224386113463167"/>
          <c:w val="0.25484253524838602"/>
          <c:h val="0.53767993226079602"/>
        </c:manualLayout>
      </c:layout>
      <c:overlay val="0"/>
      <c:spPr>
        <a:noFill/>
        <a:ln>
          <a:noFill/>
        </a:ln>
        <a:effectLst/>
      </c:spPr>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cap="none" spc="0" normalizeH="0" baseline="0">
                <a:solidFill>
                  <a:schemeClr val="tx1"/>
                </a:solidFill>
                <a:uFill>
                  <a:solidFill>
                    <a:schemeClr val="tx1"/>
                  </a:solidFill>
                </a:uFill>
                <a:latin typeface="+mn-lt"/>
                <a:ea typeface="+mn-ea"/>
                <a:cs typeface="+mn-cs"/>
              </a:defRPr>
            </a:pPr>
            <a:r>
              <a:rPr lang="en-US" b="1" u="none" strike="noStrike" cap="none" normalizeH="0">
                <a:solidFill>
                  <a:schemeClr val="tx1"/>
                </a:solidFill>
                <a:uFill>
                  <a:solidFill>
                    <a:schemeClr val="tx1"/>
                  </a:solidFill>
                </a:uFill>
              </a:rPr>
              <a:t>Tahun 2018</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Tahun 2018</c:v>
                </c:pt>
              </c:strCache>
            </c:strRef>
          </c:tx>
          <c:spPr>
            <a:gradFill>
              <a:gsLst>
                <a:gs pos="0">
                  <a:srgbClr val="E30000"/>
                </a:gs>
                <a:gs pos="100000">
                  <a:srgbClr val="760303"/>
                </a:gs>
              </a:gsLst>
              <a:lin ang="5400000" scaled="0"/>
            </a:gradFill>
            <a:ln>
              <a:noFill/>
            </a:ln>
            <a:effectLst/>
          </c:spPr>
          <c:invertIfNegative val="0"/>
          <c:dLbls>
            <c:dLbl>
              <c:idx val="0"/>
              <c:tx>
                <c:rich>
                  <a:bodyPr/>
                  <a:lstStyle/>
                  <a:p>
                    <a:r>
                      <a:rPr lang="en-US"/>
                      <a:t>0 %</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13 %</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67 %</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20 %</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cap="none" spc="0" normalizeH="0" baseline="0">
                    <a:solidFill>
                      <a:schemeClr val="tx1"/>
                    </a:solidFill>
                    <a:uFill>
                      <a:solidFill>
                        <a:schemeClr val="tx1"/>
                      </a:solidFill>
                    </a:u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Gol I</c:v>
                </c:pt>
                <c:pt idx="1">
                  <c:v>Gol II</c:v>
                </c:pt>
                <c:pt idx="2">
                  <c:v>Gol III</c:v>
                </c:pt>
                <c:pt idx="3">
                  <c:v>Gol IV</c:v>
                </c:pt>
              </c:strCache>
            </c:strRef>
          </c:cat>
          <c:val>
            <c:numRef>
              <c:f>Sheet1!$B$2:$B$5</c:f>
              <c:numCache>
                <c:formatCode>General</c:formatCode>
                <c:ptCount val="4"/>
                <c:pt idx="0">
                  <c:v>0</c:v>
                </c:pt>
                <c:pt idx="1">
                  <c:v>13</c:v>
                </c:pt>
                <c:pt idx="2">
                  <c:v>67</c:v>
                </c:pt>
                <c:pt idx="3">
                  <c:v>20</c:v>
                </c:pt>
              </c:numCache>
            </c:numRef>
          </c:val>
        </c:ser>
        <c:dLbls>
          <c:showLegendKey val="0"/>
          <c:showVal val="1"/>
          <c:showCatName val="0"/>
          <c:showSerName val="0"/>
          <c:showPercent val="0"/>
          <c:showBubbleSize val="0"/>
        </c:dLbls>
        <c:gapWidth val="219"/>
        <c:overlap val="-27"/>
        <c:axId val="48098688"/>
        <c:axId val="251808000"/>
      </c:barChart>
      <c:catAx>
        <c:axId val="480986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00" b="0" i="0" u="none" strike="noStrike" kern="1200" cap="none" spc="0" normalizeH="0" baseline="0">
                <a:solidFill>
                  <a:schemeClr val="tx1"/>
                </a:solidFill>
                <a:uFill>
                  <a:solidFill>
                    <a:schemeClr val="tx1"/>
                  </a:solidFill>
                </a:uFill>
                <a:latin typeface="+mn-lt"/>
                <a:ea typeface="+mn-ea"/>
                <a:cs typeface="+mn-cs"/>
              </a:defRPr>
            </a:pPr>
            <a:endParaRPr lang="en-US"/>
          </a:p>
        </c:txPr>
        <c:crossAx val="251808000"/>
        <c:crosses val="autoZero"/>
        <c:auto val="1"/>
        <c:lblAlgn val="ctr"/>
        <c:lblOffset val="100"/>
        <c:noMultiLvlLbl val="0"/>
      </c:catAx>
      <c:valAx>
        <c:axId val="25180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000" b="0" i="0" u="none" strike="noStrike" kern="1200" cap="none" spc="0" normalizeH="0" baseline="0">
                <a:solidFill>
                  <a:schemeClr val="tx1"/>
                </a:solidFill>
                <a:uFill>
                  <a:solidFill>
                    <a:schemeClr val="tx1"/>
                  </a:solidFill>
                </a:uFill>
                <a:latin typeface="+mn-lt"/>
                <a:ea typeface="+mn-ea"/>
                <a:cs typeface="+mn-cs"/>
              </a:defRPr>
            </a:pPr>
            <a:endParaRPr lang="en-US"/>
          </a:p>
        </c:txPr>
        <c:crossAx val="48098688"/>
        <c:crosses val="autoZero"/>
        <c:crossBetween val="between"/>
      </c:valAx>
      <c:spPr>
        <a:noFill/>
        <a:ln w="22225">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lang="en-US" u="none" strike="noStrike" kern="1200" cap="none" spc="0" normalizeH="0">
          <a:solidFill>
            <a:schemeClr val="tx1"/>
          </a:solidFill>
          <a:uFill>
            <a:solidFill>
              <a:schemeClr val="tx1"/>
            </a:solidFill>
          </a:u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50822437790001"/>
          <c:y val="0.12234993614304"/>
          <c:w val="0.34401799522002002"/>
          <c:h val="0.62503192848020395"/>
        </c:manualLayout>
      </c:layout>
      <c:pieChart>
        <c:varyColors val="1"/>
        <c:ser>
          <c:idx val="0"/>
          <c:order val="0"/>
          <c:tx>
            <c:strRef>
              <c:f>Sheet1!$A$2</c:f>
              <c:strCache>
                <c:ptCount val="1"/>
              </c:strCache>
            </c:strRef>
          </c:tx>
          <c:spPr>
            <a:solidFill>
              <a:srgbClr val="9999FF"/>
            </a:solidFill>
            <a:ln w="12690">
              <a:solidFill>
                <a:srgbClr val="000000"/>
              </a:solidFill>
              <a:prstDash val="solid"/>
            </a:ln>
          </c:spPr>
          <c:explosion val="17"/>
          <c:dPt>
            <c:idx val="0"/>
            <c:bubble3D val="0"/>
            <c:spPr>
              <a:solidFill>
                <a:srgbClr val="008000"/>
              </a:solidFill>
              <a:ln w="12690">
                <a:solidFill>
                  <a:srgbClr val="000000"/>
                </a:solidFill>
                <a:prstDash val="solid"/>
              </a:ln>
            </c:spPr>
          </c:dPt>
          <c:dPt>
            <c:idx val="1"/>
            <c:bubble3D val="0"/>
            <c:spPr>
              <a:solidFill>
                <a:srgbClr val="000080"/>
              </a:solidFill>
              <a:ln w="12690">
                <a:solidFill>
                  <a:srgbClr val="000000"/>
                </a:solidFill>
                <a:prstDash val="solid"/>
              </a:ln>
            </c:spPr>
          </c:dPt>
          <c:dPt>
            <c:idx val="2"/>
            <c:bubble3D val="0"/>
            <c:spPr>
              <a:solidFill>
                <a:srgbClr val="00FFFF"/>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gradFill rotWithShape="0">
                <a:gsLst>
                  <a:gs pos="0">
                    <a:srgbClr val="FF6600"/>
                  </a:gs>
                  <a:gs pos="100000">
                    <a:srgbClr val="FF6600">
                      <a:gamma/>
                      <a:shade val="46275"/>
                      <a:invGamma/>
                    </a:srgbClr>
                  </a:gs>
                </a:gsLst>
                <a:lin ang="0" scaled="1"/>
              </a:gradFill>
              <a:ln w="12690">
                <a:solidFill>
                  <a:srgbClr val="000000"/>
                </a:solidFill>
                <a:prstDash val="solid"/>
              </a:ln>
            </c:spPr>
          </c:dPt>
          <c:dLbls>
            <c:dLbl>
              <c:idx val="0"/>
              <c:layout>
                <c:manualLayout>
                  <c:x val="-3.1774709795304598E-2"/>
                  <c:y val="9.9989532530882705E-2"/>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Idiologi Wasbang </a:t>
                    </a:r>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12%</a:t>
                    </a:r>
                  </a:p>
                </c:rich>
              </c:tx>
              <c:spPr>
                <a:noFill/>
                <a:ln w="25381">
                  <a:noFill/>
                </a:ln>
                <a:effectLst/>
              </c:spPr>
              <c:dLblPos val="bestFit"/>
              <c:showLegendKey val="1"/>
              <c:showVal val="1"/>
              <c:showCatName val="0"/>
              <c:showSerName val="0"/>
              <c:showPercent val="0"/>
              <c:showBubbleSize val="0"/>
              <c:extLst>
                <c:ext xmlns:c15="http://schemas.microsoft.com/office/drawing/2012/chart" uri="{CE6537A1-D6FC-4f65-9D91-7224C49458BB}">
                  <c15:layout>
                    <c:manualLayout>
                      <c:w val="0.3075543371292"/>
                      <c:h val="0.205108556832695"/>
                    </c:manualLayout>
                  </c15:layout>
                </c:ext>
              </c:extLst>
            </c:dLbl>
            <c:dLbl>
              <c:idx val="1"/>
              <c:layout>
                <c:manualLayout>
                  <c:x val="-9.0388727453590695E-2"/>
                  <c:y val="7.6958989504443007E-2"/>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Kewaspadaan118%</a:t>
                    </a:r>
                  </a:p>
                </c:rich>
              </c:tx>
              <c:spPr>
                <a:noFill/>
                <a:ln w="25381">
                  <a:noFill/>
                </a:ln>
                <a:effectLst/>
              </c:spPr>
              <c:dLblPos val="bestFit"/>
              <c:showLegendKey val="1"/>
              <c:showVal val="1"/>
              <c:showCatName val="0"/>
              <c:showSerName val="0"/>
              <c:showPercent val="0"/>
              <c:showBubbleSize val="0"/>
              <c:extLst>
                <c:ext xmlns:c15="http://schemas.microsoft.com/office/drawing/2012/chart" uri="{CE6537A1-D6FC-4f65-9D91-7224C49458BB}">
                  <c15:layout/>
                </c:ext>
              </c:extLst>
            </c:dLbl>
            <c:dLbl>
              <c:idx val="2"/>
              <c:layout>
                <c:manualLayout>
                  <c:x val="-8.6211824184475594E-2"/>
                  <c:y val="-0.115869818485937"/>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Binmas </a:t>
                    </a:r>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15%</a:t>
                    </a:r>
                  </a:p>
                </c:rich>
              </c:tx>
              <c:spPr>
                <a:noFill/>
                <a:ln w="25381">
                  <a:noFill/>
                </a:ln>
                <a:effectLst/>
              </c:spPr>
              <c:dLblPos val="bestFit"/>
              <c:showLegendKey val="1"/>
              <c:showVal val="1"/>
              <c:showCatName val="0"/>
              <c:showSerName val="0"/>
              <c:showPercent val="0"/>
              <c:showBubbleSize val="0"/>
              <c:extLst>
                <c:ext xmlns:c15="http://schemas.microsoft.com/office/drawing/2012/chart" uri="{CE6537A1-D6FC-4f65-9D91-7224C49458BB}">
                  <c15:layout>
                    <c:manualLayout>
                      <c:w val="0.189882468719246"/>
                      <c:h val="0.142017879948914"/>
                    </c:manualLayout>
                  </c15:layout>
                </c:ext>
              </c:extLst>
            </c:dLbl>
            <c:dLbl>
              <c:idx val="3"/>
              <c:layout>
                <c:manualLayout>
                  <c:x val="1.40686152487677E-2"/>
                  <c:y val="-0.124272588024377"/>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Poldagri</a:t>
                    </a:r>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15%</a:t>
                    </a:r>
                  </a:p>
                </c:rich>
              </c:tx>
              <c:spPr>
                <a:noFill/>
                <a:ln w="25381">
                  <a:noFill/>
                </a:ln>
                <a:effectLst/>
              </c:spPr>
              <c:dLblPos val="bestFit"/>
              <c:showLegendKey val="1"/>
              <c:showVal val="1"/>
              <c:showCatName val="0"/>
              <c:showSerName val="0"/>
              <c:showPercent val="0"/>
              <c:showBubbleSize val="0"/>
              <c:extLst>
                <c:ext xmlns:c15="http://schemas.microsoft.com/office/drawing/2012/chart" uri="{CE6537A1-D6FC-4f65-9D91-7224C49458BB}">
                  <c15:layout>
                    <c:manualLayout>
                      <c:w val="0.192981583017011"/>
                      <c:h val="0.160408684546616"/>
                    </c:manualLayout>
                  </c15:layout>
                </c:ext>
              </c:extLst>
            </c:dLbl>
            <c:dLbl>
              <c:idx val="4"/>
              <c:layout>
                <c:manualLayout>
                  <c:x val="0.119868669395407"/>
                  <c:y val="3.2434850711852398E-2"/>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Sekretariat</a:t>
                    </a:r>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lang="en-US" sz="1000"/>
                      <a:t>40 %</a:t>
                    </a:r>
                  </a:p>
                </c:rich>
              </c:tx>
              <c:spPr>
                <a:noFill/>
                <a:ln w="25381">
                  <a:noFill/>
                </a:ln>
                <a:effectLst/>
              </c:spPr>
              <c:dLblPos val="bestFit"/>
              <c:showLegendKey val="1"/>
              <c:showVal val="1"/>
              <c:showCatName val="0"/>
              <c:showSerName val="0"/>
              <c:showPercent val="0"/>
              <c:showBubbleSize val="0"/>
              <c:extLst>
                <c:ext xmlns:c15="http://schemas.microsoft.com/office/drawing/2012/chart" uri="{CE6537A1-D6FC-4f65-9D91-7224C49458BB}">
                  <c15:layout/>
                </c:ext>
              </c:extLst>
            </c:dLbl>
            <c:spPr>
              <a:noFill/>
              <a:ln w="25381">
                <a:noFill/>
              </a:ln>
              <a:effectLst/>
            </c:spPr>
            <c:txPr>
              <a:bodyPr rot="0" spcFirstLastPara="0" vertOverflow="ellipsis" vert="horz" wrap="square" lIns="38100" tIns="19050" rIns="38100" bIns="19050" anchor="ctr" anchorCtr="1"/>
              <a:lstStyle/>
              <a:p>
                <a:pPr>
                  <a:defRPr lang="en-US" sz="1025"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bestFit"/>
            <c:showLegendKey val="1"/>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Sheet1!$B$1:$F$1</c:f>
              <c:strCache>
                <c:ptCount val="5"/>
                <c:pt idx="0">
                  <c:v>Bid.Idiologi &amp; Wasbang</c:v>
                </c:pt>
                <c:pt idx="1">
                  <c:v>Bid.Kewaspadaan</c:v>
                </c:pt>
                <c:pt idx="2">
                  <c:v>Bid.Binmas</c:v>
                </c:pt>
                <c:pt idx="3">
                  <c:v>Bid.Poldagri</c:v>
                </c:pt>
                <c:pt idx="4">
                  <c:v>Sekretariat</c:v>
                </c:pt>
              </c:strCache>
            </c:strRef>
          </c:cat>
          <c:val>
            <c:numRef>
              <c:f>Sheet1!$B$2:$F$2</c:f>
              <c:numCache>
                <c:formatCode>General</c:formatCode>
                <c:ptCount val="5"/>
                <c:pt idx="0">
                  <c:v>12</c:v>
                </c:pt>
                <c:pt idx="1">
                  <c:v>18</c:v>
                </c:pt>
                <c:pt idx="2">
                  <c:v>15</c:v>
                </c:pt>
                <c:pt idx="3">
                  <c:v>15</c:v>
                </c:pt>
                <c:pt idx="4">
                  <c:v>40</c:v>
                </c:pt>
              </c:numCache>
            </c:numRef>
          </c:val>
        </c:ser>
        <c:ser>
          <c:idx val="1"/>
          <c:order val="1"/>
          <c:tx>
            <c:strRef>
              <c:f>Sheet1!$A$3</c:f>
              <c:strCache>
                <c:ptCount val="1"/>
              </c:strCache>
            </c:strRef>
          </c:tx>
          <c:spPr>
            <a:solidFill>
              <a:srgbClr val="99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Sheet1!$B$5:$F$5</c:f>
              <c:numCache>
                <c:formatCode>General</c:formatCode>
                <c:ptCount val="5"/>
              </c:numCache>
            </c:numRef>
          </c:val>
        </c:ser>
        <c:ser>
          <c:idx val="4"/>
          <c:order val="4"/>
          <c:tx>
            <c:strRef>
              <c:f>Sheet1!$A$6</c:f>
              <c:strCache>
                <c:ptCount val="1"/>
              </c:strCache>
            </c:strRef>
          </c:tx>
          <c:spPr>
            <a:solidFill>
              <a:srgbClr val="6600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dPt>
          <c:cat>
            <c:strRef>
              <c:f>Sheet1!$B$1:$F$1</c:f>
              <c:strCache>
                <c:ptCount val="5"/>
                <c:pt idx="0">
                  <c:v>Bid.Idiologi &amp; Wasbang</c:v>
                </c:pt>
                <c:pt idx="1">
                  <c:v>Bid.Kewaspadaan</c:v>
                </c:pt>
                <c:pt idx="2">
                  <c:v>Bid.Binmas</c:v>
                </c:pt>
                <c:pt idx="3">
                  <c:v>Bid.Poldagri</c:v>
                </c:pt>
                <c:pt idx="4">
                  <c:v>Sekretariat</c:v>
                </c:pt>
              </c:strCache>
            </c:strRef>
          </c:cat>
          <c:val>
            <c:numRef>
              <c:f>Sheet1!$B$6:$F$6</c:f>
              <c:numCache>
                <c:formatCode>General</c:formatCode>
                <c:ptCount val="5"/>
              </c:numCache>
            </c:numRef>
          </c:val>
        </c:ser>
        <c:ser>
          <c:idx val="5"/>
          <c:order val="5"/>
          <c:tx>
            <c:strRef>
              <c:f>Sheet1!$A$7</c:f>
              <c:strCache>
                <c:ptCount val="1"/>
              </c:strCache>
            </c:strRef>
          </c:tx>
          <c:spPr>
            <a:solidFill>
              <a:srgbClr val="FF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Sheet1!$B$7:$F$7</c:f>
              <c:numCache>
                <c:formatCode>General</c:formatCode>
                <c:ptCount val="5"/>
              </c:numCache>
            </c:numRef>
          </c:val>
        </c:ser>
        <c:ser>
          <c:idx val="6"/>
          <c:order val="6"/>
          <c:tx>
            <c:strRef>
              <c:f>Sheet1!$A$8</c:f>
              <c:strCache>
                <c:ptCount val="1"/>
              </c:strCache>
            </c:strRef>
          </c:tx>
          <c:spPr>
            <a:solidFill>
              <a:srgbClr val="0066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Sheet1!$B$8:$F$8</c:f>
              <c:numCache>
                <c:formatCode>General</c:formatCode>
                <c:ptCount val="5"/>
              </c:numCache>
            </c:numRef>
          </c:val>
        </c:ser>
        <c:ser>
          <c:idx val="7"/>
          <c:order val="7"/>
          <c:tx>
            <c:strRef>
              <c:f>Sheet1!$A$9</c:f>
              <c:strCache>
                <c:ptCount val="1"/>
              </c:strCache>
            </c:strRef>
          </c:tx>
          <c:spPr>
            <a:solidFill>
              <a:srgbClr val="CC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Sheet1!$B$9:$F$9</c:f>
              <c:numCache>
                <c:formatCode>General</c:formatCode>
                <c:ptCount val="5"/>
              </c:numCache>
            </c:numRef>
          </c:val>
        </c:ser>
        <c:ser>
          <c:idx val="8"/>
          <c:order val="8"/>
          <c:tx>
            <c:strRef>
              <c:f>Sheet1!$A$10</c:f>
              <c:strCache>
                <c:ptCount val="1"/>
              </c:strCache>
            </c:strRef>
          </c:tx>
          <c:spPr>
            <a:solidFill>
              <a:srgbClr val="0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Sheet1!$B$10:$F$10</c:f>
              <c:numCache>
                <c:formatCode>General</c:formatCode>
                <c:ptCount val="5"/>
              </c:numCache>
            </c:numRef>
          </c:val>
        </c:ser>
        <c:ser>
          <c:idx val="9"/>
          <c:order val="9"/>
          <c:tx>
            <c:strRef>
              <c:f>Sheet1!$A$11</c:f>
              <c:strCache>
                <c:ptCount val="1"/>
              </c:strCache>
            </c:strRef>
          </c:tx>
          <c:spPr>
            <a:solidFill>
              <a:srgbClr val="FF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Sheet1!$B$11:$F$11</c:f>
              <c:numCache>
                <c:formatCode>General</c:formatCode>
                <c:ptCount val="5"/>
              </c:numCache>
            </c:numRef>
          </c:val>
        </c:ser>
        <c:ser>
          <c:idx val="10"/>
          <c:order val="10"/>
          <c:tx>
            <c:strRef>
              <c:f>Sheet1!$A$12</c:f>
              <c:strCache>
                <c:ptCount val="1"/>
              </c:strCache>
            </c:strRef>
          </c:tx>
          <c:spPr>
            <a:solidFill>
              <a:srgbClr val="FF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Sheet1!$B$12:$F$12</c:f>
              <c:numCache>
                <c:formatCode>General</c:formatCode>
                <c:ptCount val="5"/>
              </c:numCache>
            </c:numRef>
          </c:val>
        </c:ser>
        <c:ser>
          <c:idx val="11"/>
          <c:order val="11"/>
          <c:tx>
            <c:strRef>
              <c:f>Sheet1!$A$13</c:f>
              <c:strCache>
                <c:ptCount val="1"/>
              </c:strCache>
            </c:strRef>
          </c:tx>
          <c:spPr>
            <a:solidFill>
              <a:srgbClr val="00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Sheet1!$B$13:$F$13</c:f>
              <c:numCache>
                <c:formatCode>General</c:formatCode>
                <c:ptCount val="5"/>
              </c:numCache>
            </c:numRef>
          </c:val>
        </c:ser>
        <c:ser>
          <c:idx val="12"/>
          <c:order val="12"/>
          <c:tx>
            <c:strRef>
              <c:f>Sheet1!$A$14</c:f>
              <c:strCache>
                <c:ptCount val="1"/>
              </c:strCache>
            </c:strRef>
          </c:tx>
          <c:spPr>
            <a:solidFill>
              <a:srgbClr val="8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Sheet1!$B$14:$F$14</c:f>
              <c:numCache>
                <c:formatCode>General</c:formatCode>
                <c:ptCount val="5"/>
              </c:numCache>
            </c:numRef>
          </c:val>
        </c:ser>
        <c:ser>
          <c:idx val="13"/>
          <c:order val="13"/>
          <c:tx>
            <c:strRef>
              <c:f>Sheet1!$A$15</c:f>
              <c:strCache>
                <c:ptCount val="1"/>
              </c:strCache>
            </c:strRef>
          </c:tx>
          <c:spPr>
            <a:solidFill>
              <a:srgbClr val="8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Sheet1!$B$15:$F$15</c:f>
              <c:numCache>
                <c:formatCode>General</c:formatCode>
                <c:ptCount val="5"/>
              </c:numCache>
            </c:numRef>
          </c:val>
        </c:ser>
        <c:ser>
          <c:idx val="14"/>
          <c:order val="14"/>
          <c:tx>
            <c:strRef>
              <c:f>Sheet1!$A$16</c:f>
              <c:strCache>
                <c:ptCount val="1"/>
              </c:strCache>
            </c:strRef>
          </c:tx>
          <c:spPr>
            <a:solidFill>
              <a:srgbClr val="0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Sheet1!$B$16:$F$16</c:f>
              <c:numCache>
                <c:formatCode>General</c:formatCode>
                <c:ptCount val="5"/>
              </c:numCache>
            </c:numRef>
          </c:val>
        </c:ser>
        <c:ser>
          <c:idx val="15"/>
          <c:order val="15"/>
          <c:tx>
            <c:strRef>
              <c:f>Sheet1!$A$17</c:f>
              <c:strCache>
                <c:ptCount val="1"/>
              </c:strCache>
            </c:strRef>
          </c:tx>
          <c:spPr>
            <a:solidFill>
              <a:srgbClr val="00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Sheet1!$B$17:$F$17</c:f>
              <c:numCache>
                <c:formatCode>General</c:formatCode>
                <c:ptCount val="5"/>
              </c:numCache>
            </c:numRef>
          </c:val>
        </c:ser>
        <c:ser>
          <c:idx val="16"/>
          <c:order val="16"/>
          <c:tx>
            <c:strRef>
              <c:f>Sheet1!$A$18</c:f>
              <c:strCache>
                <c:ptCount val="1"/>
              </c:strCache>
            </c:strRef>
          </c:tx>
          <c:spPr>
            <a:solidFill>
              <a:srgbClr val="00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Sheet1!$B$18:$F$18</c:f>
              <c:numCache>
                <c:formatCode>General</c:formatCode>
                <c:ptCount val="5"/>
              </c:numCache>
            </c:numRef>
          </c:val>
        </c:ser>
        <c:ser>
          <c:idx val="17"/>
          <c:order val="17"/>
          <c:tx>
            <c:strRef>
              <c:f>Sheet1!$A$19</c:f>
              <c:strCache>
                <c:ptCount val="1"/>
              </c:strCache>
            </c:strRef>
          </c:tx>
          <c:spPr>
            <a:solidFill>
              <a:srgbClr val="CC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Sheet1!$B$19:$F$19</c:f>
              <c:numCache>
                <c:formatCode>General</c:formatCode>
                <c:ptCount val="5"/>
              </c:numCache>
            </c:numRef>
          </c:val>
        </c:ser>
        <c:ser>
          <c:idx val="18"/>
          <c:order val="18"/>
          <c:tx>
            <c:strRef>
              <c:f>Sheet1!$A$20</c:f>
              <c:strCache>
                <c:ptCount val="1"/>
              </c:strCache>
            </c:strRef>
          </c:tx>
          <c:spPr>
            <a:solidFill>
              <a:srgbClr val="CCFF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Sheet1!$B$20:$F$20</c:f>
              <c:numCache>
                <c:formatCode>General</c:formatCode>
                <c:ptCount val="5"/>
              </c:numCache>
            </c:numRef>
          </c:val>
        </c:ser>
        <c:ser>
          <c:idx val="19"/>
          <c:order val="19"/>
          <c:tx>
            <c:strRef>
              <c:f>Sheet1!$A$21</c:f>
              <c:strCache>
                <c:ptCount val="1"/>
              </c:strCache>
            </c:strRef>
          </c:tx>
          <c:spPr>
            <a:solidFill>
              <a:srgbClr val="FFFF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Sheet1!$B$21:$F$21</c:f>
              <c:numCache>
                <c:formatCode>General</c:formatCode>
                <c:ptCount val="5"/>
              </c:numCache>
            </c:numRef>
          </c:val>
        </c:ser>
        <c:ser>
          <c:idx val="20"/>
          <c:order val="20"/>
          <c:tx>
            <c:strRef>
              <c:f>Sheet1!$A$22</c:f>
              <c:strCache>
                <c:ptCount val="1"/>
              </c:strCache>
            </c:strRef>
          </c:tx>
          <c:spPr>
            <a:solidFill>
              <a:srgbClr val="99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Sheet1!$B$22:$F$22</c:f>
              <c:numCache>
                <c:formatCode>General</c:formatCode>
                <c:ptCount val="5"/>
              </c:numCache>
            </c:numRef>
          </c:val>
        </c:ser>
        <c:ser>
          <c:idx val="21"/>
          <c:order val="21"/>
          <c:tx>
            <c:strRef>
              <c:f>Sheet1!$A$23</c:f>
              <c:strCache>
                <c:ptCount val="1"/>
              </c:strCache>
            </c:strRef>
          </c:tx>
          <c:spPr>
            <a:solidFill>
              <a:srgbClr val="FF99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Sheet1!$B$23:$F$23</c:f>
              <c:numCache>
                <c:formatCode>General</c:formatCode>
                <c:ptCount val="5"/>
              </c:numCache>
            </c:numRef>
          </c:val>
        </c:ser>
        <c:ser>
          <c:idx val="22"/>
          <c:order val="22"/>
          <c:tx>
            <c:strRef>
              <c:f>Sheet1!$A$24</c:f>
              <c:strCache>
                <c:ptCount val="1"/>
              </c:strCache>
            </c:strRef>
          </c:tx>
          <c:spPr>
            <a:solidFill>
              <a:srgbClr val="CC99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Sheet1!$B$24:$F$24</c:f>
              <c:numCache>
                <c:formatCode>General</c:formatCode>
                <c:ptCount val="5"/>
              </c:numCache>
            </c:numRef>
          </c:val>
        </c:ser>
        <c:ser>
          <c:idx val="23"/>
          <c:order val="23"/>
          <c:tx>
            <c:strRef>
              <c:f>Sheet1!$A$25</c:f>
              <c:strCache>
                <c:ptCount val="1"/>
              </c:strCache>
            </c:strRef>
          </c:tx>
          <c:spPr>
            <a:solidFill>
              <a:srgbClr val="FFCC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Sheet1!$B$25:$F$25</c:f>
              <c:numCache>
                <c:formatCode>General</c:formatCode>
                <c:ptCount val="5"/>
              </c:numCache>
            </c:numRef>
          </c:val>
        </c:ser>
        <c:ser>
          <c:idx val="24"/>
          <c:order val="24"/>
          <c:tx>
            <c:strRef>
              <c:f>Sheet1!$A$26</c:f>
              <c:strCache>
                <c:ptCount val="1"/>
              </c:strCache>
            </c:strRef>
          </c:tx>
          <c:spPr>
            <a:solidFill>
              <a:srgbClr val="3366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Sheet1!$B$26:$F$26</c:f>
              <c:numCache>
                <c:formatCode>General</c:formatCode>
                <c:ptCount val="5"/>
              </c:numCache>
            </c:numRef>
          </c:val>
        </c:ser>
        <c:ser>
          <c:idx val="25"/>
          <c:order val="25"/>
          <c:tx>
            <c:strRef>
              <c:f>Sheet1!$A$27</c:f>
              <c:strCache>
                <c:ptCount val="1"/>
              </c:strCache>
            </c:strRef>
          </c:tx>
          <c:spPr>
            <a:solidFill>
              <a:srgbClr val="33CC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Sheet1!$B$27:$F$27</c:f>
              <c:numCache>
                <c:formatCode>General</c:formatCode>
                <c:ptCount val="5"/>
              </c:numCache>
            </c:numRef>
          </c:val>
        </c:ser>
        <c:ser>
          <c:idx val="26"/>
          <c:order val="26"/>
          <c:tx>
            <c:strRef>
              <c:f>Sheet1!$A$28</c:f>
              <c:strCache>
                <c:ptCount val="1"/>
              </c:strCache>
            </c:strRef>
          </c:tx>
          <c:spPr>
            <a:solidFill>
              <a:srgbClr val="99CC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Sheet1!$B$28:$F$28</c:f>
              <c:numCache>
                <c:formatCode>General</c:formatCode>
                <c:ptCount val="5"/>
              </c:numCache>
            </c:numRef>
          </c:val>
        </c:ser>
        <c:ser>
          <c:idx val="27"/>
          <c:order val="27"/>
          <c:tx>
            <c:strRef>
              <c:f>Sheet1!$A$29</c:f>
              <c:strCache>
                <c:ptCount val="1"/>
              </c:strCache>
            </c:strRef>
          </c:tx>
          <c:spPr>
            <a:solidFill>
              <a:srgbClr val="FFCC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Sheet1!$B$29:$F$29</c:f>
              <c:numCache>
                <c:formatCode>General</c:formatCode>
                <c:ptCount val="5"/>
              </c:numCache>
            </c:numRef>
          </c:val>
        </c:ser>
        <c:ser>
          <c:idx val="28"/>
          <c:order val="28"/>
          <c:tx>
            <c:strRef>
              <c:f>Sheet1!$A$30</c:f>
              <c:strCache>
                <c:ptCount val="1"/>
              </c:strCache>
            </c:strRef>
          </c:tx>
          <c:spPr>
            <a:solidFill>
              <a:srgbClr val="FF99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Sheet1!$B$30:$F$30</c:f>
              <c:numCache>
                <c:formatCode>General</c:formatCode>
                <c:ptCount val="5"/>
              </c:numCache>
            </c:numRef>
          </c:val>
        </c:ser>
        <c:ser>
          <c:idx val="29"/>
          <c:order val="29"/>
          <c:tx>
            <c:strRef>
              <c:f>Sheet1!$A$31</c:f>
              <c:strCache>
                <c:ptCount val="1"/>
              </c:strCache>
            </c:strRef>
          </c:tx>
          <c:spPr>
            <a:solidFill>
              <a:srgbClr val="FF66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Sheet1!$B$31:$F$31</c:f>
              <c:numCache>
                <c:formatCode>General</c:formatCode>
                <c:ptCount val="5"/>
              </c:numCache>
            </c:numRef>
          </c:val>
        </c:ser>
        <c:ser>
          <c:idx val="30"/>
          <c:order val="30"/>
          <c:tx>
            <c:strRef>
              <c:f>Sheet1!$A$32</c:f>
              <c:strCache>
                <c:ptCount val="1"/>
              </c:strCache>
            </c:strRef>
          </c:tx>
          <c:spPr>
            <a:solidFill>
              <a:srgbClr val="6666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Sheet1!$B$32:$F$32</c:f>
              <c:numCache>
                <c:formatCode>General</c:formatCode>
                <c:ptCount val="5"/>
              </c:numCache>
            </c:numRef>
          </c:val>
        </c:ser>
        <c:ser>
          <c:idx val="31"/>
          <c:order val="31"/>
          <c:tx>
            <c:strRef>
              <c:f>Sheet1!$A$33</c:f>
              <c:strCache>
                <c:ptCount val="1"/>
              </c:strCache>
            </c:strRef>
          </c:tx>
          <c:spPr>
            <a:solidFill>
              <a:srgbClr val="96969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Sheet1!$B$33:$F$33</c:f>
              <c:numCache>
                <c:formatCode>General</c:formatCode>
                <c:ptCount val="5"/>
              </c:numCache>
            </c:numRef>
          </c:val>
        </c:ser>
        <c:ser>
          <c:idx val="32"/>
          <c:order val="32"/>
          <c:tx>
            <c:strRef>
              <c:f>Sheet1!$A$34</c:f>
              <c:strCache>
                <c:ptCount val="1"/>
              </c:strCache>
            </c:strRef>
          </c:tx>
          <c:spPr>
            <a:solidFill>
              <a:srgbClr val="00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Sheet1!$B$34:$F$34</c:f>
              <c:numCache>
                <c:formatCode>General</c:formatCode>
                <c:ptCount val="5"/>
              </c:numCache>
            </c:numRef>
          </c:val>
        </c:ser>
        <c:ser>
          <c:idx val="33"/>
          <c:order val="33"/>
          <c:tx>
            <c:strRef>
              <c:f>Sheet1!$A$35</c:f>
              <c:strCache>
                <c:ptCount val="1"/>
              </c:strCache>
            </c:strRef>
          </c:tx>
          <c:spPr>
            <a:solidFill>
              <a:srgbClr val="3399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Sheet1!$B$35:$F$35</c:f>
              <c:numCache>
                <c:formatCode>General</c:formatCode>
                <c:ptCount val="5"/>
              </c:numCache>
            </c:numRef>
          </c:val>
        </c:ser>
        <c:ser>
          <c:idx val="34"/>
          <c:order val="34"/>
          <c:tx>
            <c:strRef>
              <c:f>Sheet1!$A$36</c:f>
              <c:strCache>
                <c:ptCount val="1"/>
              </c:strCache>
            </c:strRef>
          </c:tx>
          <c:spPr>
            <a:solidFill>
              <a:srgbClr val="00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Sheet1!$B$36:$F$36</c:f>
              <c:numCache>
                <c:formatCode>General</c:formatCode>
                <c:ptCount val="5"/>
              </c:numCache>
            </c:numRef>
          </c:val>
        </c:ser>
        <c:ser>
          <c:idx val="35"/>
          <c:order val="35"/>
          <c:tx>
            <c:strRef>
              <c:f>Sheet1!$A$37</c:f>
              <c:strCache>
                <c:ptCount val="1"/>
              </c:strCache>
            </c:strRef>
          </c:tx>
          <c:spPr>
            <a:solidFill>
              <a:srgbClr val="33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Sheet1!$B$37:$F$37</c:f>
              <c:numCache>
                <c:formatCode>General</c:formatCode>
                <c:ptCount val="5"/>
              </c:numCache>
            </c:numRef>
          </c:val>
        </c:ser>
        <c:ser>
          <c:idx val="36"/>
          <c:order val="36"/>
          <c:tx>
            <c:strRef>
              <c:f>Sheet1!$A$38</c:f>
              <c:strCache>
                <c:ptCount val="1"/>
              </c:strCache>
            </c:strRef>
          </c:tx>
          <c:spPr>
            <a:solidFill>
              <a:srgbClr val="99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Sheet1!$B$38:$F$38</c:f>
              <c:numCache>
                <c:formatCode>General</c:formatCode>
                <c:ptCount val="5"/>
              </c:numCache>
            </c:numRef>
          </c:val>
        </c:ser>
        <c:ser>
          <c:idx val="37"/>
          <c:order val="37"/>
          <c:tx>
            <c:strRef>
              <c:f>Sheet1!$A$39</c:f>
              <c:strCache>
                <c:ptCount val="1"/>
              </c:strCache>
            </c:strRef>
          </c:tx>
          <c:spPr>
            <a:solidFill>
              <a:srgbClr val="99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Sheet1!$B$39:$F$39</c:f>
              <c:numCache>
                <c:formatCode>General</c:formatCode>
                <c:ptCount val="5"/>
              </c:numCache>
            </c:numRef>
          </c:val>
        </c:ser>
        <c:ser>
          <c:idx val="38"/>
          <c:order val="38"/>
          <c:tx>
            <c:strRef>
              <c:f>Sheet1!$A$40</c:f>
              <c:strCache>
                <c:ptCount val="1"/>
              </c:strCache>
            </c:strRef>
          </c:tx>
          <c:spPr>
            <a:solidFill>
              <a:srgbClr val="3333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Sheet1!$B$40:$F$40</c:f>
              <c:numCache>
                <c:formatCode>General</c:formatCode>
                <c:ptCount val="5"/>
              </c:numCache>
            </c:numRef>
          </c:val>
        </c:ser>
        <c:ser>
          <c:idx val="39"/>
          <c:order val="39"/>
          <c:tx>
            <c:strRef>
              <c:f>Sheet1!$A$41</c:f>
              <c:strCache>
                <c:ptCount val="1"/>
              </c:strCache>
            </c:strRef>
          </c:tx>
          <c:spPr>
            <a:solidFill>
              <a:srgbClr val="333333"/>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Sheet1!$B$41:$F$41</c:f>
              <c:numCache>
                <c:formatCode>General</c:formatCode>
                <c:ptCount val="5"/>
              </c:numCache>
            </c:numRef>
          </c:val>
        </c:ser>
        <c:ser>
          <c:idx val="40"/>
          <c:order val="40"/>
          <c:tx>
            <c:strRef>
              <c:f>Sheet1!$A$42</c:f>
              <c:strCache>
                <c:ptCount val="1"/>
              </c:strCache>
            </c:strRef>
          </c:tx>
          <c:spPr>
            <a:solidFill>
              <a:srgbClr val="0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Sheet1!$B$42:$F$42</c:f>
              <c:numCache>
                <c:formatCode>General</c:formatCode>
                <c:ptCount val="5"/>
              </c:numCache>
            </c:numRef>
          </c:val>
        </c:ser>
        <c:ser>
          <c:idx val="41"/>
          <c:order val="41"/>
          <c:tx>
            <c:strRef>
              <c:f>Sheet1!$A$43</c:f>
              <c:strCache>
                <c:ptCount val="1"/>
              </c:strCache>
            </c:strRef>
          </c:tx>
          <c:spPr>
            <a:solidFill>
              <a:srgbClr val="FF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Sheet1!$B$43:$F$43</c:f>
              <c:numCache>
                <c:formatCode>General</c:formatCode>
                <c:ptCount val="5"/>
              </c:numCache>
            </c:numRef>
          </c:val>
        </c:ser>
        <c:ser>
          <c:idx val="42"/>
          <c:order val="42"/>
          <c:tx>
            <c:strRef>
              <c:f>Sheet1!$A$44</c:f>
              <c:strCache>
                <c:ptCount val="1"/>
              </c:strCache>
            </c:strRef>
          </c:tx>
          <c:spPr>
            <a:solidFill>
              <a:srgbClr val="FF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Sheet1!$B$44:$F$44</c:f>
              <c:numCache>
                <c:formatCode>General</c:formatCode>
                <c:ptCount val="5"/>
              </c:numCache>
            </c:numRef>
          </c:val>
        </c:ser>
        <c:ser>
          <c:idx val="43"/>
          <c:order val="43"/>
          <c:tx>
            <c:strRef>
              <c:f>Sheet1!$A$45</c:f>
              <c:strCache>
                <c:ptCount val="1"/>
              </c:strCache>
            </c:strRef>
          </c:tx>
          <c:spPr>
            <a:solidFill>
              <a:srgbClr val="00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Sheet1!$B$45:$F$45</c:f>
              <c:numCache>
                <c:formatCode>General</c:formatCode>
                <c:ptCount val="5"/>
              </c:numCache>
            </c:numRef>
          </c:val>
        </c:ser>
        <c:ser>
          <c:idx val="44"/>
          <c:order val="44"/>
          <c:tx>
            <c:strRef>
              <c:f>Sheet1!$A$46</c:f>
              <c:strCache>
                <c:ptCount val="1"/>
              </c:strCache>
            </c:strRef>
          </c:tx>
          <c:spPr>
            <a:solidFill>
              <a:srgbClr val="00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Sheet1!$B$46:$F$46</c:f>
              <c:numCache>
                <c:formatCode>General</c:formatCode>
                <c:ptCount val="5"/>
              </c:numCache>
            </c:numRef>
          </c:val>
        </c:ser>
        <c:ser>
          <c:idx val="45"/>
          <c:order val="45"/>
          <c:tx>
            <c:strRef>
              <c:f>Sheet1!$A$47</c:f>
              <c:strCache>
                <c:ptCount val="1"/>
              </c:strCache>
            </c:strRef>
          </c:tx>
          <c:spPr>
            <a:solidFill>
              <a:srgbClr val="FF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Sheet1!$B$47:$F$47</c:f>
              <c:numCache>
                <c:formatCode>General</c:formatCode>
                <c:ptCount val="5"/>
              </c:numCache>
            </c:numRef>
          </c:val>
        </c:ser>
        <c:ser>
          <c:idx val="46"/>
          <c:order val="46"/>
          <c:tx>
            <c:strRef>
              <c:f>Sheet1!$A$48</c:f>
              <c:strCache>
                <c:ptCount val="1"/>
              </c:strCache>
            </c:strRef>
          </c:tx>
          <c:spPr>
            <a:solidFill>
              <a:srgbClr val="FF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Sheet1!$B$48:$F$48</c:f>
              <c:numCache>
                <c:formatCode>General</c:formatCode>
                <c:ptCount val="5"/>
              </c:numCache>
            </c:numRef>
          </c:val>
        </c:ser>
        <c:ser>
          <c:idx val="47"/>
          <c:order val="47"/>
          <c:tx>
            <c:strRef>
              <c:f>Sheet1!$A$49</c:f>
              <c:strCache>
                <c:ptCount val="1"/>
              </c:strCache>
            </c:strRef>
          </c:tx>
          <c:spPr>
            <a:solidFill>
              <a:srgbClr val="00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Sheet1!$B$49:$F$49</c:f>
              <c:numCache>
                <c:formatCode>General</c:formatCode>
                <c:ptCount val="5"/>
              </c:numCache>
            </c:numRef>
          </c:val>
        </c:ser>
        <c:ser>
          <c:idx val="48"/>
          <c:order val="48"/>
          <c:tx>
            <c:strRef>
              <c:f>Sheet1!$A$50</c:f>
              <c:strCache>
                <c:ptCount val="1"/>
              </c:strCache>
            </c:strRef>
          </c:tx>
          <c:spPr>
            <a:solidFill>
              <a:srgbClr val="8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Sheet1!$B$50:$F$50</c:f>
              <c:numCache>
                <c:formatCode>General</c:formatCode>
                <c:ptCount val="5"/>
              </c:numCache>
            </c:numRef>
          </c:val>
        </c:ser>
        <c:ser>
          <c:idx val="49"/>
          <c:order val="49"/>
          <c:tx>
            <c:strRef>
              <c:f>Sheet1!$A$51</c:f>
              <c:strCache>
                <c:ptCount val="1"/>
              </c:strCache>
            </c:strRef>
          </c:tx>
          <c:spPr>
            <a:solidFill>
              <a:srgbClr val="008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Sheet1!$B$51:$F$51</c:f>
              <c:numCache>
                <c:formatCode>General</c:formatCode>
                <c:ptCount val="5"/>
              </c:numCache>
            </c:numRef>
          </c:val>
        </c:ser>
        <c:ser>
          <c:idx val="50"/>
          <c:order val="50"/>
          <c:tx>
            <c:strRef>
              <c:f>Sheet1!$A$52</c:f>
              <c:strCache>
                <c:ptCount val="1"/>
              </c:strCache>
            </c:strRef>
          </c:tx>
          <c:spPr>
            <a:solidFill>
              <a:srgbClr val="0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Sheet1!$B$52:$F$52</c:f>
              <c:numCache>
                <c:formatCode>General</c:formatCode>
                <c:ptCount val="5"/>
              </c:numCache>
            </c:numRef>
          </c:val>
        </c:ser>
        <c:ser>
          <c:idx val="51"/>
          <c:order val="51"/>
          <c:tx>
            <c:strRef>
              <c:f>Sheet1!$A$53</c:f>
              <c:strCache>
                <c:ptCount val="1"/>
              </c:strCache>
            </c:strRef>
          </c:tx>
          <c:spPr>
            <a:solidFill>
              <a:srgbClr val="808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Sheet1!$B$53:$F$53</c:f>
              <c:numCache>
                <c:formatCode>General</c:formatCode>
                <c:ptCount val="5"/>
              </c:numCache>
            </c:numRef>
          </c:val>
        </c:ser>
        <c:ser>
          <c:idx val="52"/>
          <c:order val="52"/>
          <c:tx>
            <c:strRef>
              <c:f>Sheet1!$A$54</c:f>
              <c:strCache>
                <c:ptCount val="1"/>
              </c:strCache>
            </c:strRef>
          </c:tx>
          <c:spPr>
            <a:solidFill>
              <a:srgbClr val="8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Sheet1!$B$54:$F$54</c:f>
              <c:numCache>
                <c:formatCode>General</c:formatCode>
                <c:ptCount val="5"/>
              </c:numCache>
            </c:numRef>
          </c:val>
        </c:ser>
        <c:ser>
          <c:idx val="53"/>
          <c:order val="53"/>
          <c:tx>
            <c:strRef>
              <c:f>Sheet1!$A$55</c:f>
              <c:strCache>
                <c:ptCount val="1"/>
              </c:strCache>
            </c:strRef>
          </c:tx>
          <c:spPr>
            <a:solidFill>
              <a:srgbClr val="0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Sheet1!$B$55:$F$55</c:f>
              <c:numCache>
                <c:formatCode>General</c:formatCode>
                <c:ptCount val="5"/>
              </c:numCache>
            </c:numRef>
          </c:val>
        </c:ser>
        <c:ser>
          <c:idx val="54"/>
          <c:order val="54"/>
          <c:tx>
            <c:strRef>
              <c:f>Sheet1!$A$56</c:f>
              <c:strCache>
                <c:ptCount val="1"/>
              </c:strCache>
            </c:strRef>
          </c:tx>
          <c:spPr>
            <a:solidFill>
              <a:srgbClr val="C0C0C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Sheet1!$B$56:$F$56</c:f>
              <c:numCache>
                <c:formatCode>General</c:formatCode>
                <c:ptCount val="5"/>
              </c:numCache>
            </c:numRef>
          </c:val>
        </c:ser>
        <c:ser>
          <c:idx val="55"/>
          <c:order val="55"/>
          <c:tx>
            <c:strRef>
              <c:f>Sheet1!$A$57</c:f>
              <c:strCache>
                <c:ptCount val="1"/>
              </c:strCache>
            </c:strRef>
          </c:tx>
          <c:spPr>
            <a:solidFill>
              <a:srgbClr val="8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Sheet1!$B$57:$F$57</c:f>
              <c:numCache>
                <c:formatCode>General</c:formatCode>
                <c:ptCount val="5"/>
              </c:numCache>
            </c:numRef>
          </c:val>
        </c:ser>
        <c:ser>
          <c:idx val="56"/>
          <c:order val="56"/>
          <c:tx>
            <c:strRef>
              <c:f>Sheet1!$A$58</c:f>
              <c:strCache>
                <c:ptCount val="1"/>
              </c:strCache>
            </c:strRef>
          </c:tx>
          <c:spPr>
            <a:pattFill prst="pct5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Sheet1!$B$58:$F$58</c:f>
              <c:numCache>
                <c:formatCode>General</c:formatCode>
                <c:ptCount val="5"/>
              </c:numCache>
            </c:numRef>
          </c:val>
        </c:ser>
        <c:ser>
          <c:idx val="57"/>
          <c:order val="57"/>
          <c:tx>
            <c:strRef>
              <c:f>Sheet1!$A$59</c:f>
              <c:strCache>
                <c:ptCount val="1"/>
              </c:strCache>
            </c:strRef>
          </c:tx>
          <c:spPr>
            <a:pattFill prst="pct5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Sheet1!$B$59:$F$59</c:f>
              <c:numCache>
                <c:formatCode>General</c:formatCode>
                <c:ptCount val="5"/>
              </c:numCache>
            </c:numRef>
          </c:val>
        </c:ser>
        <c:ser>
          <c:idx val="58"/>
          <c:order val="58"/>
          <c:tx>
            <c:strRef>
              <c:f>Sheet1!$A$60</c:f>
              <c:strCache>
                <c:ptCount val="1"/>
              </c:strCache>
            </c:strRef>
          </c:tx>
          <c:spPr>
            <a:pattFill prst="pct5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Sheet1!$B$60:$F$60</c:f>
              <c:numCache>
                <c:formatCode>General</c:formatCode>
                <c:ptCount val="5"/>
              </c:numCache>
            </c:numRef>
          </c:val>
        </c:ser>
        <c:ser>
          <c:idx val="59"/>
          <c:order val="59"/>
          <c:tx>
            <c:strRef>
              <c:f>Sheet1!$A$61</c:f>
              <c:strCache>
                <c:ptCount val="1"/>
              </c:strCache>
            </c:strRef>
          </c:tx>
          <c:spPr>
            <a:pattFill prst="pct5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Sheet1!$B$61:$F$61</c:f>
              <c:numCache>
                <c:formatCode>General</c:formatCode>
                <c:ptCount val="5"/>
              </c:numCache>
            </c:numRef>
          </c:val>
        </c:ser>
        <c:ser>
          <c:idx val="60"/>
          <c:order val="60"/>
          <c:tx>
            <c:strRef>
              <c:f>Sheet1!$A$62</c:f>
              <c:strCache>
                <c:ptCount val="1"/>
              </c:strCache>
            </c:strRef>
          </c:tx>
          <c:spPr>
            <a:pattFill prst="pct5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Sheet1!$B$62:$F$62</c:f>
              <c:numCache>
                <c:formatCode>General</c:formatCode>
                <c:ptCount val="5"/>
              </c:numCache>
            </c:numRef>
          </c:val>
        </c:ser>
        <c:ser>
          <c:idx val="61"/>
          <c:order val="61"/>
          <c:tx>
            <c:strRef>
              <c:f>Sheet1!$A$63</c:f>
              <c:strCache>
                <c:ptCount val="1"/>
              </c:strCache>
            </c:strRef>
          </c:tx>
          <c:spPr>
            <a:pattFill prst="pct5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Sheet1!$B$63:$F$63</c:f>
              <c:numCache>
                <c:formatCode>General</c:formatCode>
                <c:ptCount val="5"/>
              </c:numCache>
            </c:numRef>
          </c:val>
        </c:ser>
        <c:ser>
          <c:idx val="62"/>
          <c:order val="62"/>
          <c:tx>
            <c:strRef>
              <c:f>Sheet1!$A$64</c:f>
              <c:strCache>
                <c:ptCount val="1"/>
              </c:strCache>
            </c:strRef>
          </c:tx>
          <c:spPr>
            <a:pattFill prst="pct5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Sheet1!$B$64:$F$64</c:f>
              <c:numCache>
                <c:formatCode>General</c:formatCode>
                <c:ptCount val="5"/>
              </c:numCache>
            </c:numRef>
          </c:val>
        </c:ser>
        <c:ser>
          <c:idx val="63"/>
          <c:order val="63"/>
          <c:tx>
            <c:strRef>
              <c:f>Sheet1!$A$65</c:f>
              <c:strCache>
                <c:ptCount val="1"/>
              </c:strCache>
            </c:strRef>
          </c:tx>
          <c:spPr>
            <a:pattFill prst="pct5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Sheet1!$B$65:$F$65</c:f>
              <c:numCache>
                <c:formatCode>General</c:formatCode>
                <c:ptCount val="5"/>
              </c:numCache>
            </c:numRef>
          </c:val>
        </c:ser>
        <c:ser>
          <c:idx val="64"/>
          <c:order val="64"/>
          <c:tx>
            <c:strRef>
              <c:f>Sheet1!$A$66</c:f>
              <c:strCache>
                <c:ptCount val="1"/>
              </c:strCache>
            </c:strRef>
          </c:tx>
          <c:spPr>
            <a:pattFill prst="pct5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Sheet1!$B$66:$F$66</c:f>
              <c:numCache>
                <c:formatCode>General</c:formatCode>
                <c:ptCount val="5"/>
              </c:numCache>
            </c:numRef>
          </c:val>
        </c:ser>
        <c:ser>
          <c:idx val="65"/>
          <c:order val="65"/>
          <c:tx>
            <c:strRef>
              <c:f>Sheet1!$A$67</c:f>
              <c:strCache>
                <c:ptCount val="1"/>
              </c:strCache>
            </c:strRef>
          </c:tx>
          <c:spPr>
            <a:pattFill prst="pct5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Sheet1!$B$67:$F$67</c:f>
              <c:numCache>
                <c:formatCode>General</c:formatCode>
                <c:ptCount val="5"/>
              </c:numCache>
            </c:numRef>
          </c:val>
        </c:ser>
        <c:ser>
          <c:idx val="66"/>
          <c:order val="66"/>
          <c:tx>
            <c:strRef>
              <c:f>Sheet1!$A$68</c:f>
              <c:strCache>
                <c:ptCount val="1"/>
              </c:strCache>
            </c:strRef>
          </c:tx>
          <c:spPr>
            <a:pattFill prst="pct5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Sheet1!$B$68:$F$68</c:f>
              <c:numCache>
                <c:formatCode>General</c:formatCode>
                <c:ptCount val="5"/>
              </c:numCache>
            </c:numRef>
          </c:val>
        </c:ser>
        <c:ser>
          <c:idx val="67"/>
          <c:order val="67"/>
          <c:tx>
            <c:strRef>
              <c:f>Sheet1!$A$69</c:f>
              <c:strCache>
                <c:ptCount val="1"/>
              </c:strCache>
            </c:strRef>
          </c:tx>
          <c:spPr>
            <a:pattFill prst="pct5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Sheet1!$B$69:$F$69</c:f>
              <c:numCache>
                <c:formatCode>General</c:formatCode>
                <c:ptCount val="5"/>
              </c:numCache>
            </c:numRef>
          </c:val>
        </c:ser>
        <c:ser>
          <c:idx val="68"/>
          <c:order val="68"/>
          <c:tx>
            <c:strRef>
              <c:f>Sheet1!$A$70</c:f>
              <c:strCache>
                <c:ptCount val="1"/>
              </c:strCache>
            </c:strRef>
          </c:tx>
          <c:spPr>
            <a:pattFill prst="pct5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Sheet1!$B$70:$F$70</c:f>
              <c:numCache>
                <c:formatCode>General</c:formatCode>
                <c:ptCount val="5"/>
              </c:numCache>
            </c:numRef>
          </c:val>
        </c:ser>
        <c:ser>
          <c:idx val="69"/>
          <c:order val="69"/>
          <c:tx>
            <c:strRef>
              <c:f>Sheet1!$A$71</c:f>
              <c:strCache>
                <c:ptCount val="1"/>
              </c:strCache>
            </c:strRef>
          </c:tx>
          <c:spPr>
            <a:pattFill prst="pct5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Sheet1!$B$71:$F$71</c:f>
              <c:numCache>
                <c:formatCode>General</c:formatCode>
                <c:ptCount val="5"/>
              </c:numCache>
            </c:numRef>
          </c:val>
        </c:ser>
        <c:ser>
          <c:idx val="70"/>
          <c:order val="70"/>
          <c:tx>
            <c:strRef>
              <c:f>Sheet1!$A$72</c:f>
              <c:strCache>
                <c:ptCount val="1"/>
              </c:strCache>
            </c:strRef>
          </c:tx>
          <c:spPr>
            <a:pattFill prst="pct5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Sheet1!$B$72:$F$72</c:f>
              <c:numCache>
                <c:formatCode>General</c:formatCode>
                <c:ptCount val="5"/>
              </c:numCache>
            </c:numRef>
          </c:val>
        </c:ser>
        <c:ser>
          <c:idx val="71"/>
          <c:order val="71"/>
          <c:tx>
            <c:strRef>
              <c:f>Sheet1!$A$73</c:f>
              <c:strCache>
                <c:ptCount val="1"/>
              </c:strCache>
            </c:strRef>
          </c:tx>
          <c:spPr>
            <a:pattFill prst="pct5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Sheet1!$B$73:$F$73</c:f>
              <c:numCache>
                <c:formatCode>General</c:formatCode>
                <c:ptCount val="5"/>
              </c:numCache>
            </c:numRef>
          </c:val>
        </c:ser>
        <c:ser>
          <c:idx val="72"/>
          <c:order val="72"/>
          <c:tx>
            <c:strRef>
              <c:f>Sheet1!$A$74</c:f>
              <c:strCache>
                <c:ptCount val="1"/>
              </c:strCache>
            </c:strRef>
          </c:tx>
          <c:spPr>
            <a:pattFill prst="pct5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Sheet1!$B$74:$F$74</c:f>
              <c:numCache>
                <c:formatCode>General</c:formatCode>
                <c:ptCount val="5"/>
              </c:numCache>
            </c:numRef>
          </c:val>
        </c:ser>
        <c:ser>
          <c:idx val="73"/>
          <c:order val="73"/>
          <c:tx>
            <c:strRef>
              <c:f>Sheet1!$A$75</c:f>
              <c:strCache>
                <c:ptCount val="1"/>
              </c:strCache>
            </c:strRef>
          </c:tx>
          <c:spPr>
            <a:pattFill prst="pct5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Sheet1!$B$75:$F$75</c:f>
              <c:numCache>
                <c:formatCode>General</c:formatCode>
                <c:ptCount val="5"/>
              </c:numCache>
            </c:numRef>
          </c:val>
        </c:ser>
        <c:ser>
          <c:idx val="74"/>
          <c:order val="74"/>
          <c:tx>
            <c:strRef>
              <c:f>Sheet1!$A$76</c:f>
              <c:strCache>
                <c:ptCount val="1"/>
              </c:strCache>
            </c:strRef>
          </c:tx>
          <c:spPr>
            <a:pattFill prst="pct5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Sheet1!$B$76:$F$76</c:f>
              <c:numCache>
                <c:formatCode>General</c:formatCode>
                <c:ptCount val="5"/>
              </c:numCache>
            </c:numRef>
          </c:val>
        </c:ser>
        <c:ser>
          <c:idx val="75"/>
          <c:order val="75"/>
          <c:tx>
            <c:strRef>
              <c:f>Sheet1!$A$77</c:f>
              <c:strCache>
                <c:ptCount val="1"/>
              </c:strCache>
            </c:strRef>
          </c:tx>
          <c:spPr>
            <a:pattFill prst="pct5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Sheet1!$B$77:$F$77</c:f>
              <c:numCache>
                <c:formatCode>General</c:formatCode>
                <c:ptCount val="5"/>
              </c:numCache>
            </c:numRef>
          </c:val>
        </c:ser>
        <c:ser>
          <c:idx val="76"/>
          <c:order val="76"/>
          <c:tx>
            <c:strRef>
              <c:f>Sheet1!$A$78</c:f>
              <c:strCache>
                <c:ptCount val="1"/>
              </c:strCache>
            </c:strRef>
          </c:tx>
          <c:spPr>
            <a:pattFill prst="pct5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Sheet1!$B$78:$F$78</c:f>
              <c:numCache>
                <c:formatCode>General</c:formatCode>
                <c:ptCount val="5"/>
              </c:numCache>
            </c:numRef>
          </c:val>
        </c:ser>
        <c:ser>
          <c:idx val="77"/>
          <c:order val="77"/>
          <c:tx>
            <c:strRef>
              <c:f>Sheet1!$A$79</c:f>
              <c:strCache>
                <c:ptCount val="1"/>
              </c:strCache>
            </c:strRef>
          </c:tx>
          <c:spPr>
            <a:pattFill prst="pct5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Sheet1!$B$79:$F$79</c:f>
              <c:numCache>
                <c:formatCode>General</c:formatCode>
                <c:ptCount val="5"/>
              </c:numCache>
            </c:numRef>
          </c:val>
        </c:ser>
        <c:ser>
          <c:idx val="78"/>
          <c:order val="78"/>
          <c:tx>
            <c:strRef>
              <c:f>Sheet1!$A$80</c:f>
              <c:strCache>
                <c:ptCount val="1"/>
              </c:strCache>
            </c:strRef>
          </c:tx>
          <c:spPr>
            <a:pattFill prst="pct5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Sheet1!$B$80:$F$80</c:f>
              <c:numCache>
                <c:formatCode>General</c:formatCode>
                <c:ptCount val="5"/>
              </c:numCache>
            </c:numRef>
          </c:val>
        </c:ser>
        <c:ser>
          <c:idx val="79"/>
          <c:order val="79"/>
          <c:tx>
            <c:strRef>
              <c:f>Sheet1!$A$81</c:f>
              <c:strCache>
                <c:ptCount val="1"/>
              </c:strCache>
            </c:strRef>
          </c:tx>
          <c:spPr>
            <a:pattFill prst="pct5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Sheet1!$B$81:$F$81</c:f>
              <c:numCache>
                <c:formatCode>General</c:formatCode>
                <c:ptCount val="5"/>
              </c:numCache>
            </c:numRef>
          </c:val>
        </c:ser>
        <c:ser>
          <c:idx val="80"/>
          <c:order val="80"/>
          <c:tx>
            <c:strRef>
              <c:f>Sheet1!$A$82</c:f>
              <c:strCache>
                <c:ptCount val="1"/>
              </c:strCache>
            </c:strRef>
          </c:tx>
          <c:spPr>
            <a:pattFill prst="pct5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Sheet1!$B$82:$F$82</c:f>
              <c:numCache>
                <c:formatCode>General</c:formatCode>
                <c:ptCount val="5"/>
              </c:numCache>
            </c:numRef>
          </c:val>
        </c:ser>
        <c:ser>
          <c:idx val="81"/>
          <c:order val="81"/>
          <c:tx>
            <c:strRef>
              <c:f>Sheet1!$A$83</c:f>
              <c:strCache>
                <c:ptCount val="1"/>
              </c:strCache>
            </c:strRef>
          </c:tx>
          <c:spPr>
            <a:pattFill prst="pct5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Sheet1!$B$83:$F$83</c:f>
              <c:numCache>
                <c:formatCode>General</c:formatCode>
                <c:ptCount val="5"/>
              </c:numCache>
            </c:numRef>
          </c:val>
        </c:ser>
        <c:ser>
          <c:idx val="82"/>
          <c:order val="82"/>
          <c:tx>
            <c:strRef>
              <c:f>Sheet1!$A$84</c:f>
              <c:strCache>
                <c:ptCount val="1"/>
              </c:strCache>
            </c:strRef>
          </c:tx>
          <c:spPr>
            <a:pattFill prst="pct5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Sheet1!$B$84:$F$84</c:f>
              <c:numCache>
                <c:formatCode>General</c:formatCode>
                <c:ptCount val="5"/>
              </c:numCache>
            </c:numRef>
          </c:val>
        </c:ser>
        <c:ser>
          <c:idx val="83"/>
          <c:order val="83"/>
          <c:tx>
            <c:strRef>
              <c:f>Sheet1!$A$85</c:f>
              <c:strCache>
                <c:ptCount val="1"/>
              </c:strCache>
            </c:strRef>
          </c:tx>
          <c:spPr>
            <a:pattFill prst="pct5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Sheet1!$B$85:$F$85</c:f>
              <c:numCache>
                <c:formatCode>General</c:formatCode>
                <c:ptCount val="5"/>
              </c:numCache>
            </c:numRef>
          </c:val>
        </c:ser>
        <c:ser>
          <c:idx val="84"/>
          <c:order val="84"/>
          <c:tx>
            <c:strRef>
              <c:f>Sheet1!$A$86</c:f>
              <c:strCache>
                <c:ptCount val="1"/>
              </c:strCache>
            </c:strRef>
          </c:tx>
          <c:spPr>
            <a:pattFill prst="pct5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Sheet1!$B$86:$F$86</c:f>
              <c:numCache>
                <c:formatCode>General</c:formatCode>
                <c:ptCount val="5"/>
              </c:numCache>
            </c:numRef>
          </c:val>
        </c:ser>
        <c:ser>
          <c:idx val="85"/>
          <c:order val="85"/>
          <c:tx>
            <c:strRef>
              <c:f>Sheet1!$A$87</c:f>
              <c:strCache>
                <c:ptCount val="1"/>
              </c:strCache>
            </c:strRef>
          </c:tx>
          <c:spPr>
            <a:pattFill prst="pct5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Sheet1!$B$87:$F$87</c:f>
              <c:numCache>
                <c:formatCode>General</c:formatCode>
                <c:ptCount val="5"/>
              </c:numCache>
            </c:numRef>
          </c:val>
        </c:ser>
        <c:ser>
          <c:idx val="86"/>
          <c:order val="86"/>
          <c:tx>
            <c:strRef>
              <c:f>Sheet1!$A$88</c:f>
              <c:strCache>
                <c:ptCount val="1"/>
              </c:strCache>
            </c:strRef>
          </c:tx>
          <c:spPr>
            <a:pattFill prst="pct5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Sheet1!$B$88:$F$88</c:f>
              <c:numCache>
                <c:formatCode>General</c:formatCode>
                <c:ptCount val="5"/>
              </c:numCache>
            </c:numRef>
          </c:val>
        </c:ser>
        <c:ser>
          <c:idx val="87"/>
          <c:order val="87"/>
          <c:tx>
            <c:strRef>
              <c:f>Sheet1!$A$89</c:f>
              <c:strCache>
                <c:ptCount val="1"/>
              </c:strCache>
            </c:strRef>
          </c:tx>
          <c:spPr>
            <a:pattFill prst="pct5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Sheet1!$B$89:$F$89</c:f>
              <c:numCache>
                <c:formatCode>General</c:formatCode>
                <c:ptCount val="5"/>
              </c:numCache>
            </c:numRef>
          </c:val>
        </c:ser>
        <c:ser>
          <c:idx val="88"/>
          <c:order val="88"/>
          <c:tx>
            <c:strRef>
              <c:f>Sheet1!$A$90</c:f>
              <c:strCache>
                <c:ptCount val="1"/>
              </c:strCache>
            </c:strRef>
          </c:tx>
          <c:spPr>
            <a:pattFill prst="pct5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Sheet1!$B$90:$F$90</c:f>
              <c:numCache>
                <c:formatCode>General</c:formatCode>
                <c:ptCount val="5"/>
              </c:numCache>
            </c:numRef>
          </c:val>
        </c:ser>
        <c:ser>
          <c:idx val="89"/>
          <c:order val="89"/>
          <c:tx>
            <c:strRef>
              <c:f>Sheet1!$A$91</c:f>
              <c:strCache>
                <c:ptCount val="1"/>
              </c:strCache>
            </c:strRef>
          </c:tx>
          <c:spPr>
            <a:pattFill prst="pct5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Sheet1!$B$91:$F$91</c:f>
              <c:numCache>
                <c:formatCode>General</c:formatCode>
                <c:ptCount val="5"/>
              </c:numCache>
            </c:numRef>
          </c:val>
        </c:ser>
        <c:ser>
          <c:idx val="90"/>
          <c:order val="90"/>
          <c:tx>
            <c:strRef>
              <c:f>Sheet1!$A$92</c:f>
              <c:strCache>
                <c:ptCount val="1"/>
              </c:strCache>
            </c:strRef>
          </c:tx>
          <c:spPr>
            <a:pattFill prst="pct5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Sheet1!$B$92:$F$92</c:f>
              <c:numCache>
                <c:formatCode>General</c:formatCode>
                <c:ptCount val="5"/>
              </c:numCache>
            </c:numRef>
          </c:val>
        </c:ser>
        <c:ser>
          <c:idx val="91"/>
          <c:order val="91"/>
          <c:tx>
            <c:strRef>
              <c:f>Sheet1!$A$93</c:f>
              <c:strCache>
                <c:ptCount val="1"/>
              </c:strCache>
            </c:strRef>
          </c:tx>
          <c:spPr>
            <a:pattFill prst="pct5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Sheet1!$B$93:$F$93</c:f>
              <c:numCache>
                <c:formatCode>General</c:formatCode>
                <c:ptCount val="5"/>
              </c:numCache>
            </c:numRef>
          </c:val>
        </c:ser>
        <c:ser>
          <c:idx val="92"/>
          <c:order val="92"/>
          <c:tx>
            <c:strRef>
              <c:f>Sheet1!$A$94</c:f>
              <c:strCache>
                <c:ptCount val="1"/>
              </c:strCache>
            </c:strRef>
          </c:tx>
          <c:spPr>
            <a:pattFill prst="pct5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Sheet1!$B$94:$F$94</c:f>
              <c:numCache>
                <c:formatCode>General</c:formatCode>
                <c:ptCount val="5"/>
              </c:numCache>
            </c:numRef>
          </c:val>
        </c:ser>
        <c:ser>
          <c:idx val="93"/>
          <c:order val="93"/>
          <c:tx>
            <c:strRef>
              <c:f>Sheet1!$A$95</c:f>
              <c:strCache>
                <c:ptCount val="1"/>
              </c:strCache>
            </c:strRef>
          </c:tx>
          <c:spPr>
            <a:pattFill prst="pct5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Sheet1!$B$95:$F$95</c:f>
              <c:numCache>
                <c:formatCode>General</c:formatCode>
                <c:ptCount val="5"/>
              </c:numCache>
            </c:numRef>
          </c:val>
        </c:ser>
        <c:ser>
          <c:idx val="94"/>
          <c:order val="94"/>
          <c:tx>
            <c:strRef>
              <c:f>Sheet1!$A$96</c:f>
              <c:strCache>
                <c:ptCount val="1"/>
              </c:strCache>
            </c:strRef>
          </c:tx>
          <c:spPr>
            <a:pattFill prst="pct5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Sheet1!$B$96:$F$96</c:f>
              <c:numCache>
                <c:formatCode>General</c:formatCode>
                <c:ptCount val="5"/>
              </c:numCache>
            </c:numRef>
          </c:val>
        </c:ser>
        <c:ser>
          <c:idx val="95"/>
          <c:order val="95"/>
          <c:tx>
            <c:strRef>
              <c:f>Sheet1!$A$97</c:f>
              <c:strCache>
                <c:ptCount val="1"/>
              </c:strCache>
            </c:strRef>
          </c:tx>
          <c:spPr>
            <a:pattFill prst="pct5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Sheet1!$B$97:$F$97</c:f>
              <c:numCache>
                <c:formatCode>General</c:formatCode>
                <c:ptCount val="5"/>
              </c:numCache>
            </c:numRef>
          </c:val>
        </c:ser>
        <c:ser>
          <c:idx val="96"/>
          <c:order val="96"/>
          <c:tx>
            <c:strRef>
              <c:f>Sheet1!$A$98</c:f>
              <c:strCache>
                <c:ptCount val="1"/>
              </c:strCache>
            </c:strRef>
          </c:tx>
          <c:spPr>
            <a:pattFill prst="pct5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Sheet1!$B$98:$F$98</c:f>
              <c:numCache>
                <c:formatCode>General</c:formatCode>
                <c:ptCount val="5"/>
              </c:numCache>
            </c:numRef>
          </c:val>
        </c:ser>
        <c:ser>
          <c:idx val="97"/>
          <c:order val="97"/>
          <c:tx>
            <c:strRef>
              <c:f>Sheet1!$A$99</c:f>
              <c:strCache>
                <c:ptCount val="1"/>
              </c:strCache>
            </c:strRef>
          </c:tx>
          <c:spPr>
            <a:pattFill prst="pct5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Sheet1!$B$99:$F$99</c:f>
              <c:numCache>
                <c:formatCode>General</c:formatCode>
                <c:ptCount val="5"/>
              </c:numCache>
            </c:numRef>
          </c:val>
        </c:ser>
        <c:ser>
          <c:idx val="98"/>
          <c:order val="98"/>
          <c:tx>
            <c:strRef>
              <c:f>Sheet1!$A$100</c:f>
              <c:strCache>
                <c:ptCount val="1"/>
              </c:strCache>
            </c:strRef>
          </c:tx>
          <c:spPr>
            <a:pattFill prst="pct5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Sheet1!$B$100:$F$100</c:f>
              <c:numCache>
                <c:formatCode>General</c:formatCode>
                <c:ptCount val="5"/>
              </c:numCache>
            </c:numRef>
          </c:val>
        </c:ser>
        <c:ser>
          <c:idx val="99"/>
          <c:order val="99"/>
          <c:tx>
            <c:strRef>
              <c:f>Sheet1!$A$101</c:f>
              <c:strCache>
                <c:ptCount val="1"/>
              </c:strCache>
            </c:strRef>
          </c:tx>
          <c:spPr>
            <a:pattFill prst="pct5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Sheet1!$B$101:$F$101</c:f>
              <c:numCache>
                <c:formatCode>General</c:formatCode>
                <c:ptCount val="5"/>
              </c:numCache>
            </c:numRef>
          </c:val>
        </c:ser>
        <c:ser>
          <c:idx val="100"/>
          <c:order val="100"/>
          <c:tx>
            <c:strRef>
              <c:f>Sheet1!$A$102</c:f>
              <c:strCache>
                <c:ptCount val="1"/>
              </c:strCache>
            </c:strRef>
          </c:tx>
          <c:spPr>
            <a:pattFill prst="pct5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Sheet1!$B$102:$F$102</c:f>
              <c:numCache>
                <c:formatCode>General</c:formatCode>
                <c:ptCount val="5"/>
              </c:numCache>
            </c:numRef>
          </c:val>
        </c:ser>
        <c:ser>
          <c:idx val="101"/>
          <c:order val="101"/>
          <c:tx>
            <c:strRef>
              <c:f>Sheet1!$A$103</c:f>
              <c:strCache>
                <c:ptCount val="1"/>
              </c:strCache>
            </c:strRef>
          </c:tx>
          <c:spPr>
            <a:pattFill prst="pct5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Sheet1!$B$103:$F$103</c:f>
              <c:numCache>
                <c:formatCode>General</c:formatCode>
                <c:ptCount val="5"/>
              </c:numCache>
            </c:numRef>
          </c:val>
        </c:ser>
        <c:ser>
          <c:idx val="102"/>
          <c:order val="102"/>
          <c:tx>
            <c:strRef>
              <c:f>Sheet1!$A$104</c:f>
              <c:strCache>
                <c:ptCount val="1"/>
              </c:strCache>
            </c:strRef>
          </c:tx>
          <c:spPr>
            <a:pattFill prst="pct5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Sheet1!$B$104:$F$104</c:f>
              <c:numCache>
                <c:formatCode>General</c:formatCode>
                <c:ptCount val="5"/>
              </c:numCache>
            </c:numRef>
          </c:val>
        </c:ser>
        <c:ser>
          <c:idx val="103"/>
          <c:order val="103"/>
          <c:tx>
            <c:strRef>
              <c:f>Sheet1!$A$105</c:f>
              <c:strCache>
                <c:ptCount val="1"/>
              </c:strCache>
            </c:strRef>
          </c:tx>
          <c:spPr>
            <a:pattFill prst="pct5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Sheet1!$B$105:$F$105</c:f>
              <c:numCache>
                <c:formatCode>General</c:formatCode>
                <c:ptCount val="5"/>
              </c:numCache>
            </c:numRef>
          </c:val>
        </c:ser>
        <c:ser>
          <c:idx val="104"/>
          <c:order val="104"/>
          <c:tx>
            <c:strRef>
              <c:f>Sheet1!$A$106</c:f>
              <c:strCache>
                <c:ptCount val="1"/>
              </c:strCache>
            </c:strRef>
          </c:tx>
          <c:spPr>
            <a:pattFill prst="pct5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Sheet1!$B$106:$F$106</c:f>
              <c:numCache>
                <c:formatCode>General</c:formatCode>
                <c:ptCount val="5"/>
              </c:numCache>
            </c:numRef>
          </c:val>
        </c:ser>
        <c:ser>
          <c:idx val="105"/>
          <c:order val="105"/>
          <c:tx>
            <c:strRef>
              <c:f>Sheet1!$A$107</c:f>
              <c:strCache>
                <c:ptCount val="1"/>
              </c:strCache>
            </c:strRef>
          </c:tx>
          <c:spPr>
            <a:pattFill prst="pct5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Sheet1!$B$107:$F$107</c:f>
              <c:numCache>
                <c:formatCode>General</c:formatCode>
                <c:ptCount val="5"/>
              </c:numCache>
            </c:numRef>
          </c:val>
        </c:ser>
        <c:ser>
          <c:idx val="106"/>
          <c:order val="106"/>
          <c:tx>
            <c:strRef>
              <c:f>Sheet1!$A$108</c:f>
              <c:strCache>
                <c:ptCount val="1"/>
              </c:strCache>
            </c:strRef>
          </c:tx>
          <c:spPr>
            <a:pattFill prst="pct5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Sheet1!$B$108:$F$108</c:f>
              <c:numCache>
                <c:formatCode>General</c:formatCode>
                <c:ptCount val="5"/>
              </c:numCache>
            </c:numRef>
          </c:val>
        </c:ser>
        <c:ser>
          <c:idx val="107"/>
          <c:order val="107"/>
          <c:tx>
            <c:strRef>
              <c:f>Sheet1!$A$109</c:f>
              <c:strCache>
                <c:ptCount val="1"/>
              </c:strCache>
            </c:strRef>
          </c:tx>
          <c:spPr>
            <a:pattFill prst="pct5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Sheet1!$B$109:$F$109</c:f>
              <c:numCache>
                <c:formatCode>General</c:formatCode>
                <c:ptCount val="5"/>
              </c:numCache>
            </c:numRef>
          </c:val>
        </c:ser>
        <c:ser>
          <c:idx val="108"/>
          <c:order val="108"/>
          <c:tx>
            <c:strRef>
              <c:f>Sheet1!$A$110</c:f>
              <c:strCache>
                <c:ptCount val="1"/>
              </c:strCache>
            </c:strRef>
          </c:tx>
          <c:spPr>
            <a:pattFill prst="pct5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Sheet1!$B$110:$F$110</c:f>
              <c:numCache>
                <c:formatCode>General</c:formatCode>
                <c:ptCount val="5"/>
              </c:numCache>
            </c:numRef>
          </c:val>
        </c:ser>
        <c:ser>
          <c:idx val="109"/>
          <c:order val="109"/>
          <c:tx>
            <c:strRef>
              <c:f>Sheet1!$A$111</c:f>
              <c:strCache>
                <c:ptCount val="1"/>
              </c:strCache>
            </c:strRef>
          </c:tx>
          <c:spPr>
            <a:pattFill prst="pct5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Sheet1!$B$111:$F$111</c:f>
              <c:numCache>
                <c:formatCode>General</c:formatCode>
                <c:ptCount val="5"/>
              </c:numCache>
            </c:numRef>
          </c:val>
        </c:ser>
        <c:ser>
          <c:idx val="110"/>
          <c:order val="110"/>
          <c:tx>
            <c:strRef>
              <c:f>Sheet1!$A$112</c:f>
              <c:strCache>
                <c:ptCount val="1"/>
              </c:strCache>
            </c:strRef>
          </c:tx>
          <c:spPr>
            <a:pattFill prst="pct5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Sheet1!$B$112:$F$112</c:f>
              <c:numCache>
                <c:formatCode>General</c:formatCode>
                <c:ptCount val="5"/>
              </c:numCache>
            </c:numRef>
          </c:val>
        </c:ser>
        <c:ser>
          <c:idx val="111"/>
          <c:order val="111"/>
          <c:tx>
            <c:strRef>
              <c:f>Sheet1!$A$113</c:f>
              <c:strCache>
                <c:ptCount val="1"/>
              </c:strCache>
            </c:strRef>
          </c:tx>
          <c:spPr>
            <a:pattFill prst="pct7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Sheet1!$B$113:$F$113</c:f>
              <c:numCache>
                <c:formatCode>General</c:formatCode>
                <c:ptCount val="5"/>
              </c:numCache>
            </c:numRef>
          </c:val>
        </c:ser>
        <c:ser>
          <c:idx val="112"/>
          <c:order val="112"/>
          <c:tx>
            <c:strRef>
              <c:f>Sheet1!$A$114</c:f>
              <c:strCache>
                <c:ptCount val="1"/>
              </c:strCache>
            </c:strRef>
          </c:tx>
          <c:spPr>
            <a:pattFill prst="pct7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Sheet1!$B$114:$F$114</c:f>
              <c:numCache>
                <c:formatCode>General</c:formatCode>
                <c:ptCount val="5"/>
              </c:numCache>
            </c:numRef>
          </c:val>
        </c:ser>
        <c:ser>
          <c:idx val="113"/>
          <c:order val="113"/>
          <c:tx>
            <c:strRef>
              <c:f>Sheet1!$A$115</c:f>
              <c:strCache>
                <c:ptCount val="1"/>
              </c:strCache>
            </c:strRef>
          </c:tx>
          <c:spPr>
            <a:pattFill prst="pct7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Sheet1!$B$115:$F$115</c:f>
              <c:numCache>
                <c:formatCode>General</c:formatCode>
                <c:ptCount val="5"/>
              </c:numCache>
            </c:numRef>
          </c:val>
        </c:ser>
        <c:ser>
          <c:idx val="114"/>
          <c:order val="114"/>
          <c:tx>
            <c:strRef>
              <c:f>Sheet1!$A$116</c:f>
              <c:strCache>
                <c:ptCount val="1"/>
              </c:strCache>
            </c:strRef>
          </c:tx>
          <c:spPr>
            <a:pattFill prst="pct7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Sheet1!$B$116:$F$116</c:f>
              <c:numCache>
                <c:formatCode>General</c:formatCode>
                <c:ptCount val="5"/>
              </c:numCache>
            </c:numRef>
          </c:val>
        </c:ser>
        <c:ser>
          <c:idx val="115"/>
          <c:order val="115"/>
          <c:tx>
            <c:strRef>
              <c:f>Sheet1!$A$117</c:f>
              <c:strCache>
                <c:ptCount val="1"/>
              </c:strCache>
            </c:strRef>
          </c:tx>
          <c:spPr>
            <a:pattFill prst="pct7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Sheet1!$B$117:$F$117</c:f>
              <c:numCache>
                <c:formatCode>General</c:formatCode>
                <c:ptCount val="5"/>
              </c:numCache>
            </c:numRef>
          </c:val>
        </c:ser>
        <c:ser>
          <c:idx val="116"/>
          <c:order val="116"/>
          <c:tx>
            <c:strRef>
              <c:f>Sheet1!$A$118</c:f>
              <c:strCache>
                <c:ptCount val="1"/>
              </c:strCache>
            </c:strRef>
          </c:tx>
          <c:spPr>
            <a:pattFill prst="pct7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Sheet1!$B$118:$F$118</c:f>
              <c:numCache>
                <c:formatCode>General</c:formatCode>
                <c:ptCount val="5"/>
              </c:numCache>
            </c:numRef>
          </c:val>
        </c:ser>
        <c:ser>
          <c:idx val="117"/>
          <c:order val="117"/>
          <c:tx>
            <c:strRef>
              <c:f>Sheet1!$A$119</c:f>
              <c:strCache>
                <c:ptCount val="1"/>
              </c:strCache>
            </c:strRef>
          </c:tx>
          <c:spPr>
            <a:pattFill prst="pct7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Sheet1!$B$119:$F$119</c:f>
              <c:numCache>
                <c:formatCode>General</c:formatCode>
                <c:ptCount val="5"/>
              </c:numCache>
            </c:numRef>
          </c:val>
        </c:ser>
        <c:ser>
          <c:idx val="118"/>
          <c:order val="118"/>
          <c:tx>
            <c:strRef>
              <c:f>Sheet1!$A$120</c:f>
              <c:strCache>
                <c:ptCount val="1"/>
              </c:strCache>
            </c:strRef>
          </c:tx>
          <c:spPr>
            <a:pattFill prst="pct7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Sheet1!$B$120:$F$120</c:f>
              <c:numCache>
                <c:formatCode>General</c:formatCode>
                <c:ptCount val="5"/>
              </c:numCache>
            </c:numRef>
          </c:val>
        </c:ser>
        <c:ser>
          <c:idx val="119"/>
          <c:order val="119"/>
          <c:tx>
            <c:strRef>
              <c:f>Sheet1!$A$121</c:f>
              <c:strCache>
                <c:ptCount val="1"/>
              </c:strCache>
            </c:strRef>
          </c:tx>
          <c:spPr>
            <a:pattFill prst="pct7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Sheet1!$B$121:$F$121</c:f>
              <c:numCache>
                <c:formatCode>General</c:formatCode>
                <c:ptCount val="5"/>
              </c:numCache>
            </c:numRef>
          </c:val>
        </c:ser>
        <c:ser>
          <c:idx val="120"/>
          <c:order val="120"/>
          <c:tx>
            <c:strRef>
              <c:f>Sheet1!$A$122</c:f>
              <c:strCache>
                <c:ptCount val="1"/>
              </c:strCache>
            </c:strRef>
          </c:tx>
          <c:spPr>
            <a:pattFill prst="pct7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Sheet1!$B$122:$F$122</c:f>
              <c:numCache>
                <c:formatCode>General</c:formatCode>
                <c:ptCount val="5"/>
              </c:numCache>
            </c:numRef>
          </c:val>
        </c:ser>
        <c:ser>
          <c:idx val="121"/>
          <c:order val="121"/>
          <c:tx>
            <c:strRef>
              <c:f>Sheet1!$A$123</c:f>
              <c:strCache>
                <c:ptCount val="1"/>
              </c:strCache>
            </c:strRef>
          </c:tx>
          <c:spPr>
            <a:pattFill prst="pct7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Sheet1!$B$123:$F$123</c:f>
              <c:numCache>
                <c:formatCode>General</c:formatCode>
                <c:ptCount val="5"/>
              </c:numCache>
            </c:numRef>
          </c:val>
        </c:ser>
        <c:ser>
          <c:idx val="122"/>
          <c:order val="122"/>
          <c:tx>
            <c:strRef>
              <c:f>Sheet1!$A$124</c:f>
              <c:strCache>
                <c:ptCount val="1"/>
              </c:strCache>
            </c:strRef>
          </c:tx>
          <c:spPr>
            <a:pattFill prst="pct7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Sheet1!$B$124:$F$124</c:f>
              <c:numCache>
                <c:formatCode>General</c:formatCode>
                <c:ptCount val="5"/>
              </c:numCache>
            </c:numRef>
          </c:val>
        </c:ser>
        <c:ser>
          <c:idx val="123"/>
          <c:order val="123"/>
          <c:tx>
            <c:strRef>
              <c:f>Sheet1!$A$125</c:f>
              <c:strCache>
                <c:ptCount val="1"/>
              </c:strCache>
            </c:strRef>
          </c:tx>
          <c:spPr>
            <a:pattFill prst="pct7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Sheet1!$B$125:$F$125</c:f>
              <c:numCache>
                <c:formatCode>General</c:formatCode>
                <c:ptCount val="5"/>
              </c:numCache>
            </c:numRef>
          </c:val>
        </c:ser>
        <c:ser>
          <c:idx val="124"/>
          <c:order val="124"/>
          <c:tx>
            <c:strRef>
              <c:f>Sheet1!$A$126</c:f>
              <c:strCache>
                <c:ptCount val="1"/>
              </c:strCache>
            </c:strRef>
          </c:tx>
          <c:spPr>
            <a:pattFill prst="pct7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Sheet1!$B$126:$F$126</c:f>
              <c:numCache>
                <c:formatCode>General</c:formatCode>
                <c:ptCount val="5"/>
              </c:numCache>
            </c:numRef>
          </c:val>
        </c:ser>
        <c:ser>
          <c:idx val="125"/>
          <c:order val="125"/>
          <c:tx>
            <c:strRef>
              <c:f>Sheet1!$A$127</c:f>
              <c:strCache>
                <c:ptCount val="1"/>
              </c:strCache>
            </c:strRef>
          </c:tx>
          <c:spPr>
            <a:pattFill prst="pct7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Sheet1!$B$127:$F$127</c:f>
              <c:numCache>
                <c:formatCode>General</c:formatCode>
                <c:ptCount val="5"/>
              </c:numCache>
            </c:numRef>
          </c:val>
        </c:ser>
        <c:ser>
          <c:idx val="126"/>
          <c:order val="126"/>
          <c:tx>
            <c:strRef>
              <c:f>Sheet1!$A$128</c:f>
              <c:strCache>
                <c:ptCount val="1"/>
              </c:strCache>
            </c:strRef>
          </c:tx>
          <c:spPr>
            <a:pattFill prst="pct7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Sheet1!$B$128:$F$128</c:f>
              <c:numCache>
                <c:formatCode>General</c:formatCode>
                <c:ptCount val="5"/>
              </c:numCache>
            </c:numRef>
          </c:val>
        </c:ser>
        <c:ser>
          <c:idx val="127"/>
          <c:order val="127"/>
          <c:tx>
            <c:strRef>
              <c:f>Sheet1!$A$129</c:f>
              <c:strCache>
                <c:ptCount val="1"/>
              </c:strCache>
            </c:strRef>
          </c:tx>
          <c:spPr>
            <a:pattFill prst="pct7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Sheet1!$B$129:$F$129</c:f>
              <c:numCache>
                <c:formatCode>General</c:formatCode>
                <c:ptCount val="5"/>
              </c:numCache>
            </c:numRef>
          </c:val>
        </c:ser>
        <c:ser>
          <c:idx val="128"/>
          <c:order val="128"/>
          <c:tx>
            <c:strRef>
              <c:f>Sheet1!$A$130</c:f>
              <c:strCache>
                <c:ptCount val="1"/>
              </c:strCache>
            </c:strRef>
          </c:tx>
          <c:spPr>
            <a:pattFill prst="pct7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Sheet1!$B$130:$F$130</c:f>
              <c:numCache>
                <c:formatCode>General</c:formatCode>
                <c:ptCount val="5"/>
              </c:numCache>
            </c:numRef>
          </c:val>
        </c:ser>
        <c:ser>
          <c:idx val="129"/>
          <c:order val="129"/>
          <c:tx>
            <c:strRef>
              <c:f>Sheet1!$A$131</c:f>
              <c:strCache>
                <c:ptCount val="1"/>
              </c:strCache>
            </c:strRef>
          </c:tx>
          <c:spPr>
            <a:pattFill prst="pct7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Sheet1!$B$131:$F$131</c:f>
              <c:numCache>
                <c:formatCode>General</c:formatCode>
                <c:ptCount val="5"/>
              </c:numCache>
            </c:numRef>
          </c:val>
        </c:ser>
        <c:ser>
          <c:idx val="130"/>
          <c:order val="130"/>
          <c:tx>
            <c:strRef>
              <c:f>Sheet1!$A$132</c:f>
              <c:strCache>
                <c:ptCount val="1"/>
              </c:strCache>
            </c:strRef>
          </c:tx>
          <c:spPr>
            <a:pattFill prst="pct7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Sheet1!$B$132:$F$132</c:f>
              <c:numCache>
                <c:formatCode>General</c:formatCode>
                <c:ptCount val="5"/>
              </c:numCache>
            </c:numRef>
          </c:val>
        </c:ser>
        <c:ser>
          <c:idx val="131"/>
          <c:order val="131"/>
          <c:tx>
            <c:strRef>
              <c:f>Sheet1!$A$133</c:f>
              <c:strCache>
                <c:ptCount val="1"/>
              </c:strCache>
            </c:strRef>
          </c:tx>
          <c:spPr>
            <a:pattFill prst="pct7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Sheet1!$B$133:$F$133</c:f>
              <c:numCache>
                <c:formatCode>General</c:formatCode>
                <c:ptCount val="5"/>
              </c:numCache>
            </c:numRef>
          </c:val>
        </c:ser>
        <c:ser>
          <c:idx val="132"/>
          <c:order val="132"/>
          <c:tx>
            <c:strRef>
              <c:f>Sheet1!$A$134</c:f>
              <c:strCache>
                <c:ptCount val="1"/>
              </c:strCache>
            </c:strRef>
          </c:tx>
          <c:spPr>
            <a:pattFill prst="pct7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Sheet1!$B$134:$F$134</c:f>
              <c:numCache>
                <c:formatCode>General</c:formatCode>
                <c:ptCount val="5"/>
              </c:numCache>
            </c:numRef>
          </c:val>
        </c:ser>
        <c:ser>
          <c:idx val="133"/>
          <c:order val="133"/>
          <c:tx>
            <c:strRef>
              <c:f>Sheet1!$A$135</c:f>
              <c:strCache>
                <c:ptCount val="1"/>
              </c:strCache>
            </c:strRef>
          </c:tx>
          <c:spPr>
            <a:pattFill prst="pct7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Sheet1!$B$135:$F$135</c:f>
              <c:numCache>
                <c:formatCode>General</c:formatCode>
                <c:ptCount val="5"/>
              </c:numCache>
            </c:numRef>
          </c:val>
        </c:ser>
        <c:ser>
          <c:idx val="134"/>
          <c:order val="134"/>
          <c:tx>
            <c:strRef>
              <c:f>Sheet1!$A$136</c:f>
              <c:strCache>
                <c:ptCount val="1"/>
              </c:strCache>
            </c:strRef>
          </c:tx>
          <c:spPr>
            <a:pattFill prst="pct7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Sheet1!$B$136:$F$136</c:f>
              <c:numCache>
                <c:formatCode>General</c:formatCode>
                <c:ptCount val="5"/>
              </c:numCache>
            </c:numRef>
          </c:val>
        </c:ser>
        <c:ser>
          <c:idx val="135"/>
          <c:order val="135"/>
          <c:tx>
            <c:strRef>
              <c:f>Sheet1!$A$137</c:f>
              <c:strCache>
                <c:ptCount val="1"/>
              </c:strCache>
            </c:strRef>
          </c:tx>
          <c:spPr>
            <a:pattFill prst="pct7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Sheet1!$B$137:$F$137</c:f>
              <c:numCache>
                <c:formatCode>General</c:formatCode>
                <c:ptCount val="5"/>
              </c:numCache>
            </c:numRef>
          </c:val>
        </c:ser>
        <c:ser>
          <c:idx val="136"/>
          <c:order val="136"/>
          <c:tx>
            <c:strRef>
              <c:f>Sheet1!$A$138</c:f>
              <c:strCache>
                <c:ptCount val="1"/>
              </c:strCache>
            </c:strRef>
          </c:tx>
          <c:spPr>
            <a:pattFill prst="pct7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Sheet1!$B$138:$F$138</c:f>
              <c:numCache>
                <c:formatCode>General</c:formatCode>
                <c:ptCount val="5"/>
              </c:numCache>
            </c:numRef>
          </c:val>
        </c:ser>
        <c:ser>
          <c:idx val="137"/>
          <c:order val="137"/>
          <c:tx>
            <c:strRef>
              <c:f>Sheet1!$A$139</c:f>
              <c:strCache>
                <c:ptCount val="1"/>
              </c:strCache>
            </c:strRef>
          </c:tx>
          <c:spPr>
            <a:pattFill prst="pct7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Sheet1!$B$139:$F$139</c:f>
              <c:numCache>
                <c:formatCode>General</c:formatCode>
                <c:ptCount val="5"/>
              </c:numCache>
            </c:numRef>
          </c:val>
        </c:ser>
        <c:ser>
          <c:idx val="138"/>
          <c:order val="138"/>
          <c:tx>
            <c:strRef>
              <c:f>Sheet1!$A$140</c:f>
              <c:strCache>
                <c:ptCount val="1"/>
              </c:strCache>
            </c:strRef>
          </c:tx>
          <c:spPr>
            <a:pattFill prst="pct7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Sheet1!$B$140:$F$140</c:f>
              <c:numCache>
                <c:formatCode>General</c:formatCode>
                <c:ptCount val="5"/>
              </c:numCache>
            </c:numRef>
          </c:val>
        </c:ser>
        <c:ser>
          <c:idx val="139"/>
          <c:order val="139"/>
          <c:tx>
            <c:strRef>
              <c:f>Sheet1!$A$141</c:f>
              <c:strCache>
                <c:ptCount val="1"/>
              </c:strCache>
            </c:strRef>
          </c:tx>
          <c:spPr>
            <a:pattFill prst="pct7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Sheet1!$B$141:$F$141</c:f>
              <c:numCache>
                <c:formatCode>General</c:formatCode>
                <c:ptCount val="5"/>
              </c:numCache>
            </c:numRef>
          </c:val>
        </c:ser>
        <c:ser>
          <c:idx val="140"/>
          <c:order val="140"/>
          <c:tx>
            <c:strRef>
              <c:f>Sheet1!$A$142</c:f>
              <c:strCache>
                <c:ptCount val="1"/>
              </c:strCache>
            </c:strRef>
          </c:tx>
          <c:spPr>
            <a:pattFill prst="pct7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Sheet1!$B$142:$F$142</c:f>
              <c:numCache>
                <c:formatCode>General</c:formatCode>
                <c:ptCount val="5"/>
              </c:numCache>
            </c:numRef>
          </c:val>
        </c:ser>
        <c:ser>
          <c:idx val="141"/>
          <c:order val="141"/>
          <c:tx>
            <c:strRef>
              <c:f>Sheet1!$A$143</c:f>
              <c:strCache>
                <c:ptCount val="1"/>
              </c:strCache>
            </c:strRef>
          </c:tx>
          <c:spPr>
            <a:pattFill prst="pct7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Sheet1!$B$143:$F$143</c:f>
              <c:numCache>
                <c:formatCode>General</c:formatCode>
                <c:ptCount val="5"/>
              </c:numCache>
            </c:numRef>
          </c:val>
        </c:ser>
        <c:ser>
          <c:idx val="142"/>
          <c:order val="142"/>
          <c:tx>
            <c:strRef>
              <c:f>Sheet1!$A$144</c:f>
              <c:strCache>
                <c:ptCount val="1"/>
              </c:strCache>
            </c:strRef>
          </c:tx>
          <c:spPr>
            <a:pattFill prst="pct7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Sheet1!$B$144:$F$144</c:f>
              <c:numCache>
                <c:formatCode>General</c:formatCode>
                <c:ptCount val="5"/>
              </c:numCache>
            </c:numRef>
          </c:val>
        </c:ser>
        <c:ser>
          <c:idx val="143"/>
          <c:order val="143"/>
          <c:tx>
            <c:strRef>
              <c:f>Sheet1!$A$145</c:f>
              <c:strCache>
                <c:ptCount val="1"/>
              </c:strCache>
            </c:strRef>
          </c:tx>
          <c:spPr>
            <a:pattFill prst="pct7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Sheet1!$B$145:$F$145</c:f>
              <c:numCache>
                <c:formatCode>General</c:formatCode>
                <c:ptCount val="5"/>
              </c:numCache>
            </c:numRef>
          </c:val>
        </c:ser>
        <c:ser>
          <c:idx val="144"/>
          <c:order val="144"/>
          <c:tx>
            <c:strRef>
              <c:f>Sheet1!$A$146</c:f>
              <c:strCache>
                <c:ptCount val="1"/>
              </c:strCache>
            </c:strRef>
          </c:tx>
          <c:spPr>
            <a:pattFill prst="pct7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Sheet1!$B$146:$F$146</c:f>
              <c:numCache>
                <c:formatCode>General</c:formatCode>
                <c:ptCount val="5"/>
              </c:numCache>
            </c:numRef>
          </c:val>
        </c:ser>
        <c:ser>
          <c:idx val="145"/>
          <c:order val="145"/>
          <c:tx>
            <c:strRef>
              <c:f>Sheet1!$A$147</c:f>
              <c:strCache>
                <c:ptCount val="1"/>
              </c:strCache>
            </c:strRef>
          </c:tx>
          <c:spPr>
            <a:pattFill prst="pct7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Sheet1!$B$147:$F$147</c:f>
              <c:numCache>
                <c:formatCode>General</c:formatCode>
                <c:ptCount val="5"/>
              </c:numCache>
            </c:numRef>
          </c:val>
        </c:ser>
        <c:ser>
          <c:idx val="146"/>
          <c:order val="146"/>
          <c:tx>
            <c:strRef>
              <c:f>Sheet1!$A$148</c:f>
              <c:strCache>
                <c:ptCount val="1"/>
              </c:strCache>
            </c:strRef>
          </c:tx>
          <c:spPr>
            <a:pattFill prst="pct7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Sheet1!$B$148:$F$148</c:f>
              <c:numCache>
                <c:formatCode>General</c:formatCode>
                <c:ptCount val="5"/>
              </c:numCache>
            </c:numRef>
          </c:val>
        </c:ser>
        <c:ser>
          <c:idx val="147"/>
          <c:order val="147"/>
          <c:tx>
            <c:strRef>
              <c:f>Sheet1!$A$149</c:f>
              <c:strCache>
                <c:ptCount val="1"/>
              </c:strCache>
            </c:strRef>
          </c:tx>
          <c:spPr>
            <a:pattFill prst="pct7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Sheet1!$B$149:$F$149</c:f>
              <c:numCache>
                <c:formatCode>General</c:formatCode>
                <c:ptCount val="5"/>
              </c:numCache>
            </c:numRef>
          </c:val>
        </c:ser>
        <c:ser>
          <c:idx val="148"/>
          <c:order val="148"/>
          <c:tx>
            <c:strRef>
              <c:f>Sheet1!$A$150</c:f>
              <c:strCache>
                <c:ptCount val="1"/>
              </c:strCache>
            </c:strRef>
          </c:tx>
          <c:spPr>
            <a:pattFill prst="pct7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Sheet1!$B$150:$F$150</c:f>
              <c:numCache>
                <c:formatCode>General</c:formatCode>
                <c:ptCount val="5"/>
              </c:numCache>
            </c:numRef>
          </c:val>
        </c:ser>
        <c:ser>
          <c:idx val="149"/>
          <c:order val="149"/>
          <c:tx>
            <c:strRef>
              <c:f>Sheet1!$A$151</c:f>
              <c:strCache>
                <c:ptCount val="1"/>
              </c:strCache>
            </c:strRef>
          </c:tx>
          <c:spPr>
            <a:pattFill prst="pct7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Sheet1!$B$151:$F$151</c:f>
              <c:numCache>
                <c:formatCode>General</c:formatCode>
                <c:ptCount val="5"/>
              </c:numCache>
            </c:numRef>
          </c:val>
        </c:ser>
        <c:ser>
          <c:idx val="150"/>
          <c:order val="150"/>
          <c:tx>
            <c:strRef>
              <c:f>Sheet1!$A$152</c:f>
              <c:strCache>
                <c:ptCount val="1"/>
              </c:strCache>
            </c:strRef>
          </c:tx>
          <c:spPr>
            <a:pattFill prst="pct7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Sheet1!$B$152:$F$152</c:f>
              <c:numCache>
                <c:formatCode>General</c:formatCode>
                <c:ptCount val="5"/>
              </c:numCache>
            </c:numRef>
          </c:val>
        </c:ser>
        <c:ser>
          <c:idx val="151"/>
          <c:order val="151"/>
          <c:tx>
            <c:strRef>
              <c:f>Sheet1!$A$153</c:f>
              <c:strCache>
                <c:ptCount val="1"/>
              </c:strCache>
            </c:strRef>
          </c:tx>
          <c:spPr>
            <a:pattFill prst="pct7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Sheet1!$B$153:$F$153</c:f>
              <c:numCache>
                <c:formatCode>General</c:formatCode>
                <c:ptCount val="5"/>
              </c:numCache>
            </c:numRef>
          </c:val>
        </c:ser>
        <c:ser>
          <c:idx val="152"/>
          <c:order val="152"/>
          <c:tx>
            <c:strRef>
              <c:f>Sheet1!$A$154</c:f>
              <c:strCache>
                <c:ptCount val="1"/>
              </c:strCache>
            </c:strRef>
          </c:tx>
          <c:spPr>
            <a:pattFill prst="pct7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Sheet1!$B$154:$F$154</c:f>
              <c:numCache>
                <c:formatCode>General</c:formatCode>
                <c:ptCount val="5"/>
              </c:numCache>
            </c:numRef>
          </c:val>
        </c:ser>
        <c:ser>
          <c:idx val="153"/>
          <c:order val="153"/>
          <c:tx>
            <c:strRef>
              <c:f>Sheet1!$A$155</c:f>
              <c:strCache>
                <c:ptCount val="1"/>
              </c:strCache>
            </c:strRef>
          </c:tx>
          <c:spPr>
            <a:pattFill prst="pct7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Sheet1!$B$155:$F$155</c:f>
              <c:numCache>
                <c:formatCode>General</c:formatCode>
                <c:ptCount val="5"/>
              </c:numCache>
            </c:numRef>
          </c:val>
        </c:ser>
        <c:ser>
          <c:idx val="154"/>
          <c:order val="154"/>
          <c:tx>
            <c:strRef>
              <c:f>Sheet1!$A$156</c:f>
              <c:strCache>
                <c:ptCount val="1"/>
              </c:strCache>
            </c:strRef>
          </c:tx>
          <c:spPr>
            <a:pattFill prst="pct7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Sheet1!$B$156:$F$156</c:f>
              <c:numCache>
                <c:formatCode>General</c:formatCode>
                <c:ptCount val="5"/>
              </c:numCache>
            </c:numRef>
          </c:val>
        </c:ser>
        <c:ser>
          <c:idx val="155"/>
          <c:order val="155"/>
          <c:tx>
            <c:strRef>
              <c:f>Sheet1!$A$157</c:f>
              <c:strCache>
                <c:ptCount val="1"/>
              </c:strCache>
            </c:strRef>
          </c:tx>
          <c:spPr>
            <a:pattFill prst="pct7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Sheet1!$B$157:$F$157</c:f>
              <c:numCache>
                <c:formatCode>General</c:formatCode>
                <c:ptCount val="5"/>
              </c:numCache>
            </c:numRef>
          </c:val>
        </c:ser>
        <c:ser>
          <c:idx val="156"/>
          <c:order val="156"/>
          <c:tx>
            <c:strRef>
              <c:f>Sheet1!$A$158</c:f>
              <c:strCache>
                <c:ptCount val="1"/>
              </c:strCache>
            </c:strRef>
          </c:tx>
          <c:spPr>
            <a:pattFill prst="pct7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Sheet1!$B$158:$F$158</c:f>
              <c:numCache>
                <c:formatCode>General</c:formatCode>
                <c:ptCount val="5"/>
              </c:numCache>
            </c:numRef>
          </c:val>
        </c:ser>
        <c:ser>
          <c:idx val="157"/>
          <c:order val="157"/>
          <c:tx>
            <c:strRef>
              <c:f>Sheet1!$A$159</c:f>
              <c:strCache>
                <c:ptCount val="1"/>
              </c:strCache>
            </c:strRef>
          </c:tx>
          <c:spPr>
            <a:pattFill prst="pct7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Sheet1!$B$159:$F$159</c:f>
              <c:numCache>
                <c:formatCode>General</c:formatCode>
                <c:ptCount val="5"/>
              </c:numCache>
            </c:numRef>
          </c:val>
        </c:ser>
        <c:ser>
          <c:idx val="158"/>
          <c:order val="158"/>
          <c:tx>
            <c:strRef>
              <c:f>Sheet1!$A$160</c:f>
              <c:strCache>
                <c:ptCount val="1"/>
              </c:strCache>
            </c:strRef>
          </c:tx>
          <c:spPr>
            <a:pattFill prst="pct7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Sheet1!$B$160:$F$160</c:f>
              <c:numCache>
                <c:formatCode>General</c:formatCode>
                <c:ptCount val="5"/>
              </c:numCache>
            </c:numRef>
          </c:val>
        </c:ser>
        <c:ser>
          <c:idx val="159"/>
          <c:order val="159"/>
          <c:tx>
            <c:strRef>
              <c:f>Sheet1!$A$161</c:f>
              <c:strCache>
                <c:ptCount val="1"/>
              </c:strCache>
            </c:strRef>
          </c:tx>
          <c:spPr>
            <a:pattFill prst="pct7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Sheet1!$B$161:$F$161</c:f>
              <c:numCache>
                <c:formatCode>General</c:formatCode>
                <c:ptCount val="5"/>
              </c:numCache>
            </c:numRef>
          </c:val>
        </c:ser>
        <c:ser>
          <c:idx val="160"/>
          <c:order val="160"/>
          <c:tx>
            <c:strRef>
              <c:f>Sheet1!$A$162</c:f>
              <c:strCache>
                <c:ptCount val="1"/>
              </c:strCache>
            </c:strRef>
          </c:tx>
          <c:spPr>
            <a:pattFill prst="pct7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Sheet1!$B$162:$F$162</c:f>
              <c:numCache>
                <c:formatCode>General</c:formatCode>
                <c:ptCount val="5"/>
              </c:numCache>
            </c:numRef>
          </c:val>
        </c:ser>
        <c:ser>
          <c:idx val="161"/>
          <c:order val="161"/>
          <c:tx>
            <c:strRef>
              <c:f>Sheet1!$A$163</c:f>
              <c:strCache>
                <c:ptCount val="1"/>
              </c:strCache>
            </c:strRef>
          </c:tx>
          <c:spPr>
            <a:pattFill prst="pct7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Sheet1!$B$163:$F$163</c:f>
              <c:numCache>
                <c:formatCode>General</c:formatCode>
                <c:ptCount val="5"/>
              </c:numCache>
            </c:numRef>
          </c:val>
        </c:ser>
        <c:ser>
          <c:idx val="162"/>
          <c:order val="162"/>
          <c:tx>
            <c:strRef>
              <c:f>Sheet1!$A$164</c:f>
              <c:strCache>
                <c:ptCount val="1"/>
              </c:strCache>
            </c:strRef>
          </c:tx>
          <c:spPr>
            <a:pattFill prst="pct7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Sheet1!$B$164:$F$164</c:f>
              <c:numCache>
                <c:formatCode>General</c:formatCode>
                <c:ptCount val="5"/>
              </c:numCache>
            </c:numRef>
          </c:val>
        </c:ser>
        <c:ser>
          <c:idx val="163"/>
          <c:order val="163"/>
          <c:tx>
            <c:strRef>
              <c:f>Sheet1!$A$165</c:f>
              <c:strCache>
                <c:ptCount val="1"/>
              </c:strCache>
            </c:strRef>
          </c:tx>
          <c:spPr>
            <a:pattFill prst="pct7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Sheet1!$B$165:$F$165</c:f>
              <c:numCache>
                <c:formatCode>General</c:formatCode>
                <c:ptCount val="5"/>
              </c:numCache>
            </c:numRef>
          </c:val>
        </c:ser>
        <c:ser>
          <c:idx val="164"/>
          <c:order val="164"/>
          <c:tx>
            <c:strRef>
              <c:f>Sheet1!$A$166</c:f>
              <c:strCache>
                <c:ptCount val="1"/>
              </c:strCache>
            </c:strRef>
          </c:tx>
          <c:spPr>
            <a:pattFill prst="pct7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Sheet1!$B$166:$F$166</c:f>
              <c:numCache>
                <c:formatCode>General</c:formatCode>
                <c:ptCount val="5"/>
              </c:numCache>
            </c:numRef>
          </c:val>
        </c:ser>
        <c:ser>
          <c:idx val="165"/>
          <c:order val="165"/>
          <c:tx>
            <c:strRef>
              <c:f>Sheet1!$A$167</c:f>
              <c:strCache>
                <c:ptCount val="1"/>
              </c:strCache>
            </c:strRef>
          </c:tx>
          <c:spPr>
            <a:pattFill prst="pct7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Sheet1!$B$167:$F$167</c:f>
              <c:numCache>
                <c:formatCode>General</c:formatCode>
                <c:ptCount val="5"/>
              </c:numCache>
            </c:numRef>
          </c:val>
        </c:ser>
        <c:ser>
          <c:idx val="166"/>
          <c:order val="166"/>
          <c:tx>
            <c:strRef>
              <c:f>Sheet1!$A$168</c:f>
              <c:strCache>
                <c:ptCount val="1"/>
              </c:strCache>
            </c:strRef>
          </c:tx>
          <c:spPr>
            <a:pattFill prst="pct2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Sheet1!$B$168:$F$168</c:f>
              <c:numCache>
                <c:formatCode>General</c:formatCode>
                <c:ptCount val="5"/>
              </c:numCache>
            </c:numRef>
          </c:val>
        </c:ser>
        <c:ser>
          <c:idx val="167"/>
          <c:order val="167"/>
          <c:tx>
            <c:strRef>
              <c:f>Sheet1!$A$169</c:f>
              <c:strCache>
                <c:ptCount val="1"/>
              </c:strCache>
            </c:strRef>
          </c:tx>
          <c:spPr>
            <a:pattFill prst="pct2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Sheet1!$B$169:$F$169</c:f>
              <c:numCache>
                <c:formatCode>General</c:formatCode>
                <c:ptCount val="5"/>
              </c:numCache>
            </c:numRef>
          </c:val>
        </c:ser>
        <c:ser>
          <c:idx val="168"/>
          <c:order val="168"/>
          <c:tx>
            <c:strRef>
              <c:f>Sheet1!$A$170</c:f>
              <c:strCache>
                <c:ptCount val="1"/>
              </c:strCache>
            </c:strRef>
          </c:tx>
          <c:spPr>
            <a:pattFill prst="pct2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Sheet1!$B$170:$F$170</c:f>
              <c:numCache>
                <c:formatCode>General</c:formatCode>
                <c:ptCount val="5"/>
              </c:numCache>
            </c:numRef>
          </c:val>
        </c:ser>
        <c:ser>
          <c:idx val="169"/>
          <c:order val="169"/>
          <c:tx>
            <c:strRef>
              <c:f>Sheet1!$A$171</c:f>
              <c:strCache>
                <c:ptCount val="1"/>
              </c:strCache>
            </c:strRef>
          </c:tx>
          <c:spPr>
            <a:pattFill prst="pct2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Sheet1!$B$171:$F$171</c:f>
              <c:numCache>
                <c:formatCode>General</c:formatCode>
                <c:ptCount val="5"/>
              </c:numCache>
            </c:numRef>
          </c:val>
        </c:ser>
        <c:ser>
          <c:idx val="170"/>
          <c:order val="170"/>
          <c:tx>
            <c:strRef>
              <c:f>Sheet1!$A$172</c:f>
              <c:strCache>
                <c:ptCount val="1"/>
              </c:strCache>
            </c:strRef>
          </c:tx>
          <c:spPr>
            <a:pattFill prst="pct2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Sheet1!$B$172:$F$172</c:f>
              <c:numCache>
                <c:formatCode>General</c:formatCode>
                <c:ptCount val="5"/>
              </c:numCache>
            </c:numRef>
          </c:val>
        </c:ser>
        <c:ser>
          <c:idx val="171"/>
          <c:order val="171"/>
          <c:tx>
            <c:strRef>
              <c:f>Sheet1!$A$173</c:f>
              <c:strCache>
                <c:ptCount val="1"/>
              </c:strCache>
            </c:strRef>
          </c:tx>
          <c:spPr>
            <a:pattFill prst="pct2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Sheet1!$B$173:$F$173</c:f>
              <c:numCache>
                <c:formatCode>General</c:formatCode>
                <c:ptCount val="5"/>
              </c:numCache>
            </c:numRef>
          </c:val>
        </c:ser>
        <c:ser>
          <c:idx val="172"/>
          <c:order val="172"/>
          <c:tx>
            <c:strRef>
              <c:f>Sheet1!$A$174</c:f>
              <c:strCache>
                <c:ptCount val="1"/>
              </c:strCache>
            </c:strRef>
          </c:tx>
          <c:spPr>
            <a:pattFill prst="pct2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Sheet1!$B$174:$F$174</c:f>
              <c:numCache>
                <c:formatCode>General</c:formatCode>
                <c:ptCount val="5"/>
              </c:numCache>
            </c:numRef>
          </c:val>
        </c:ser>
        <c:ser>
          <c:idx val="173"/>
          <c:order val="173"/>
          <c:tx>
            <c:strRef>
              <c:f>Sheet1!$A$175</c:f>
              <c:strCache>
                <c:ptCount val="1"/>
              </c:strCache>
            </c:strRef>
          </c:tx>
          <c:spPr>
            <a:pattFill prst="pct2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Sheet1!$B$175:$F$175</c:f>
              <c:numCache>
                <c:formatCode>General</c:formatCode>
                <c:ptCount val="5"/>
              </c:numCache>
            </c:numRef>
          </c:val>
        </c:ser>
        <c:ser>
          <c:idx val="174"/>
          <c:order val="174"/>
          <c:tx>
            <c:strRef>
              <c:f>Sheet1!$A$176</c:f>
              <c:strCache>
                <c:ptCount val="1"/>
              </c:strCache>
            </c:strRef>
          </c:tx>
          <c:spPr>
            <a:pattFill prst="pct2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Sheet1!$B$176:$F$176</c:f>
              <c:numCache>
                <c:formatCode>General</c:formatCode>
                <c:ptCount val="5"/>
              </c:numCache>
            </c:numRef>
          </c:val>
        </c:ser>
        <c:ser>
          <c:idx val="175"/>
          <c:order val="175"/>
          <c:tx>
            <c:strRef>
              <c:f>Sheet1!$A$177</c:f>
              <c:strCache>
                <c:ptCount val="1"/>
              </c:strCache>
            </c:strRef>
          </c:tx>
          <c:spPr>
            <a:pattFill prst="pct2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Sheet1!$B$177:$F$177</c:f>
              <c:numCache>
                <c:formatCode>General</c:formatCode>
                <c:ptCount val="5"/>
              </c:numCache>
            </c:numRef>
          </c:val>
        </c:ser>
        <c:ser>
          <c:idx val="176"/>
          <c:order val="176"/>
          <c:tx>
            <c:strRef>
              <c:f>Sheet1!$A$178</c:f>
              <c:strCache>
                <c:ptCount val="1"/>
              </c:strCache>
            </c:strRef>
          </c:tx>
          <c:spPr>
            <a:pattFill prst="pct2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Sheet1!$B$178:$F$178</c:f>
              <c:numCache>
                <c:formatCode>General</c:formatCode>
                <c:ptCount val="5"/>
              </c:numCache>
            </c:numRef>
          </c:val>
        </c:ser>
        <c:ser>
          <c:idx val="177"/>
          <c:order val="177"/>
          <c:tx>
            <c:strRef>
              <c:f>Sheet1!$A$179</c:f>
              <c:strCache>
                <c:ptCount val="1"/>
              </c:strCache>
            </c:strRef>
          </c:tx>
          <c:spPr>
            <a:pattFill prst="pct2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Sheet1!$B$179:$F$179</c:f>
              <c:numCache>
                <c:formatCode>General</c:formatCode>
                <c:ptCount val="5"/>
              </c:numCache>
            </c:numRef>
          </c:val>
        </c:ser>
        <c:ser>
          <c:idx val="178"/>
          <c:order val="178"/>
          <c:tx>
            <c:strRef>
              <c:f>Sheet1!$A$180</c:f>
              <c:strCache>
                <c:ptCount val="1"/>
              </c:strCache>
            </c:strRef>
          </c:tx>
          <c:spPr>
            <a:pattFill prst="pct2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Sheet1!$B$180:$F$180</c:f>
              <c:numCache>
                <c:formatCode>General</c:formatCode>
                <c:ptCount val="5"/>
              </c:numCache>
            </c:numRef>
          </c:val>
        </c:ser>
        <c:ser>
          <c:idx val="179"/>
          <c:order val="179"/>
          <c:tx>
            <c:strRef>
              <c:f>Sheet1!$A$181</c:f>
              <c:strCache>
                <c:ptCount val="1"/>
              </c:strCache>
            </c:strRef>
          </c:tx>
          <c:spPr>
            <a:pattFill prst="pct2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Sheet1!$B$181:$F$181</c:f>
              <c:numCache>
                <c:formatCode>General</c:formatCode>
                <c:ptCount val="5"/>
              </c:numCache>
            </c:numRef>
          </c:val>
        </c:ser>
        <c:ser>
          <c:idx val="180"/>
          <c:order val="180"/>
          <c:tx>
            <c:strRef>
              <c:f>Sheet1!$A$182</c:f>
              <c:strCache>
                <c:ptCount val="1"/>
              </c:strCache>
            </c:strRef>
          </c:tx>
          <c:spPr>
            <a:pattFill prst="pct2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Sheet1!$B$182:$F$182</c:f>
              <c:numCache>
                <c:formatCode>General</c:formatCode>
                <c:ptCount val="5"/>
              </c:numCache>
            </c:numRef>
          </c:val>
        </c:ser>
        <c:ser>
          <c:idx val="181"/>
          <c:order val="181"/>
          <c:tx>
            <c:strRef>
              <c:f>Sheet1!$A$183</c:f>
              <c:strCache>
                <c:ptCount val="1"/>
              </c:strCache>
            </c:strRef>
          </c:tx>
          <c:spPr>
            <a:pattFill prst="pct2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Sheet1!$B$183:$F$183</c:f>
              <c:numCache>
                <c:formatCode>General</c:formatCode>
                <c:ptCount val="5"/>
              </c:numCache>
            </c:numRef>
          </c:val>
        </c:ser>
        <c:ser>
          <c:idx val="182"/>
          <c:order val="182"/>
          <c:tx>
            <c:strRef>
              <c:f>Sheet1!$A$184</c:f>
              <c:strCache>
                <c:ptCount val="1"/>
              </c:strCache>
            </c:strRef>
          </c:tx>
          <c:spPr>
            <a:pattFill prst="pct2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Sheet1!$B$184:$F$184</c:f>
              <c:numCache>
                <c:formatCode>General</c:formatCode>
                <c:ptCount val="5"/>
              </c:numCache>
            </c:numRef>
          </c:val>
        </c:ser>
        <c:ser>
          <c:idx val="183"/>
          <c:order val="183"/>
          <c:tx>
            <c:strRef>
              <c:f>Sheet1!$A$185</c:f>
              <c:strCache>
                <c:ptCount val="1"/>
              </c:strCache>
            </c:strRef>
          </c:tx>
          <c:spPr>
            <a:pattFill prst="pct2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Sheet1!$B$185:$F$185</c:f>
              <c:numCache>
                <c:formatCode>General</c:formatCode>
                <c:ptCount val="5"/>
              </c:numCache>
            </c:numRef>
          </c:val>
        </c:ser>
        <c:ser>
          <c:idx val="184"/>
          <c:order val="184"/>
          <c:tx>
            <c:strRef>
              <c:f>Sheet1!$A$186</c:f>
              <c:strCache>
                <c:ptCount val="1"/>
              </c:strCache>
            </c:strRef>
          </c:tx>
          <c:spPr>
            <a:pattFill prst="pct2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Sheet1!$B$186:$F$186</c:f>
              <c:numCache>
                <c:formatCode>General</c:formatCode>
                <c:ptCount val="5"/>
              </c:numCache>
            </c:numRef>
          </c:val>
        </c:ser>
        <c:ser>
          <c:idx val="185"/>
          <c:order val="185"/>
          <c:tx>
            <c:strRef>
              <c:f>Sheet1!$A$187</c:f>
              <c:strCache>
                <c:ptCount val="1"/>
              </c:strCache>
            </c:strRef>
          </c:tx>
          <c:spPr>
            <a:pattFill prst="pct2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Sheet1!$B$187:$F$187</c:f>
              <c:numCache>
                <c:formatCode>General</c:formatCode>
                <c:ptCount val="5"/>
              </c:numCache>
            </c:numRef>
          </c:val>
        </c:ser>
        <c:ser>
          <c:idx val="186"/>
          <c:order val="186"/>
          <c:tx>
            <c:strRef>
              <c:f>Sheet1!$A$188</c:f>
              <c:strCache>
                <c:ptCount val="1"/>
              </c:strCache>
            </c:strRef>
          </c:tx>
          <c:spPr>
            <a:pattFill prst="pct2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Sheet1!$B$188:$F$188</c:f>
              <c:numCache>
                <c:formatCode>General</c:formatCode>
                <c:ptCount val="5"/>
              </c:numCache>
            </c:numRef>
          </c:val>
        </c:ser>
        <c:ser>
          <c:idx val="187"/>
          <c:order val="187"/>
          <c:tx>
            <c:strRef>
              <c:f>Sheet1!$A$189</c:f>
              <c:strCache>
                <c:ptCount val="1"/>
              </c:strCache>
            </c:strRef>
          </c:tx>
          <c:spPr>
            <a:pattFill prst="pct2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Sheet1!$B$189:$F$189</c:f>
              <c:numCache>
                <c:formatCode>General</c:formatCode>
                <c:ptCount val="5"/>
              </c:numCache>
            </c:numRef>
          </c:val>
        </c:ser>
        <c:ser>
          <c:idx val="188"/>
          <c:order val="188"/>
          <c:tx>
            <c:strRef>
              <c:f>Sheet1!$A$190</c:f>
              <c:strCache>
                <c:ptCount val="1"/>
              </c:strCache>
            </c:strRef>
          </c:tx>
          <c:spPr>
            <a:pattFill prst="pct2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Sheet1!$B$190:$F$190</c:f>
              <c:numCache>
                <c:formatCode>General</c:formatCode>
                <c:ptCount val="5"/>
              </c:numCache>
            </c:numRef>
          </c:val>
        </c:ser>
        <c:ser>
          <c:idx val="189"/>
          <c:order val="189"/>
          <c:tx>
            <c:strRef>
              <c:f>Sheet1!$A$191</c:f>
              <c:strCache>
                <c:ptCount val="1"/>
              </c:strCache>
            </c:strRef>
          </c:tx>
          <c:spPr>
            <a:pattFill prst="pct2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Sheet1!$B$191:$F$191</c:f>
              <c:numCache>
                <c:formatCode>General</c:formatCode>
                <c:ptCount val="5"/>
              </c:numCache>
            </c:numRef>
          </c:val>
        </c:ser>
        <c:ser>
          <c:idx val="190"/>
          <c:order val="190"/>
          <c:tx>
            <c:strRef>
              <c:f>Sheet1!$A$192</c:f>
              <c:strCache>
                <c:ptCount val="1"/>
              </c:strCache>
            </c:strRef>
          </c:tx>
          <c:spPr>
            <a:pattFill prst="pct2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Sheet1!$B$192:$F$192</c:f>
              <c:numCache>
                <c:formatCode>General</c:formatCode>
                <c:ptCount val="5"/>
              </c:numCache>
            </c:numRef>
          </c:val>
        </c:ser>
        <c:ser>
          <c:idx val="191"/>
          <c:order val="191"/>
          <c:tx>
            <c:strRef>
              <c:f>Sheet1!$A$193</c:f>
              <c:strCache>
                <c:ptCount val="1"/>
              </c:strCache>
            </c:strRef>
          </c:tx>
          <c:spPr>
            <a:pattFill prst="pct2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Sheet1!$B$193:$F$193</c:f>
              <c:numCache>
                <c:formatCode>General</c:formatCode>
                <c:ptCount val="5"/>
              </c:numCache>
            </c:numRef>
          </c:val>
        </c:ser>
        <c:ser>
          <c:idx val="192"/>
          <c:order val="192"/>
          <c:tx>
            <c:strRef>
              <c:f>Sheet1!$A$194</c:f>
              <c:strCache>
                <c:ptCount val="1"/>
              </c:strCache>
            </c:strRef>
          </c:tx>
          <c:spPr>
            <a:pattFill prst="pct2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Sheet1!$B$194:$F$194</c:f>
              <c:numCache>
                <c:formatCode>General</c:formatCode>
                <c:ptCount val="5"/>
              </c:numCache>
            </c:numRef>
          </c:val>
        </c:ser>
        <c:ser>
          <c:idx val="193"/>
          <c:order val="193"/>
          <c:tx>
            <c:strRef>
              <c:f>Sheet1!$A$195</c:f>
              <c:strCache>
                <c:ptCount val="1"/>
              </c:strCache>
            </c:strRef>
          </c:tx>
          <c:spPr>
            <a:pattFill prst="pct2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Sheet1!$B$195:$F$195</c:f>
              <c:numCache>
                <c:formatCode>General</c:formatCode>
                <c:ptCount val="5"/>
              </c:numCache>
            </c:numRef>
          </c:val>
        </c:ser>
        <c:ser>
          <c:idx val="194"/>
          <c:order val="194"/>
          <c:tx>
            <c:strRef>
              <c:f>Sheet1!$A$196</c:f>
              <c:strCache>
                <c:ptCount val="1"/>
              </c:strCache>
            </c:strRef>
          </c:tx>
          <c:spPr>
            <a:pattFill prst="pct2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Sheet1!$B$196:$F$196</c:f>
              <c:numCache>
                <c:formatCode>General</c:formatCode>
                <c:ptCount val="5"/>
              </c:numCache>
            </c:numRef>
          </c:val>
        </c:ser>
        <c:ser>
          <c:idx val="195"/>
          <c:order val="195"/>
          <c:tx>
            <c:strRef>
              <c:f>Sheet1!$A$197</c:f>
              <c:strCache>
                <c:ptCount val="1"/>
              </c:strCache>
            </c:strRef>
          </c:tx>
          <c:spPr>
            <a:pattFill prst="pct2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Sheet1!$B$197:$F$197</c:f>
              <c:numCache>
                <c:formatCode>General</c:formatCode>
                <c:ptCount val="5"/>
              </c:numCache>
            </c:numRef>
          </c:val>
        </c:ser>
        <c:ser>
          <c:idx val="196"/>
          <c:order val="196"/>
          <c:tx>
            <c:strRef>
              <c:f>Sheet1!$A$198</c:f>
              <c:strCache>
                <c:ptCount val="1"/>
              </c:strCache>
            </c:strRef>
          </c:tx>
          <c:spPr>
            <a:pattFill prst="pct2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Sheet1!$B$198:$F$198</c:f>
              <c:numCache>
                <c:formatCode>General</c:formatCode>
                <c:ptCount val="5"/>
              </c:numCache>
            </c:numRef>
          </c:val>
        </c:ser>
        <c:ser>
          <c:idx val="197"/>
          <c:order val="197"/>
          <c:tx>
            <c:strRef>
              <c:f>Sheet1!$A$199</c:f>
              <c:strCache>
                <c:ptCount val="1"/>
              </c:strCache>
            </c:strRef>
          </c:tx>
          <c:spPr>
            <a:pattFill prst="pct2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Sheet1!$B$199:$F$199</c:f>
              <c:numCache>
                <c:formatCode>General</c:formatCode>
                <c:ptCount val="5"/>
              </c:numCache>
            </c:numRef>
          </c:val>
        </c:ser>
        <c:ser>
          <c:idx val="198"/>
          <c:order val="198"/>
          <c:tx>
            <c:strRef>
              <c:f>Sheet1!$A$200</c:f>
              <c:strCache>
                <c:ptCount val="1"/>
              </c:strCache>
            </c:strRef>
          </c:tx>
          <c:spPr>
            <a:pattFill prst="pct2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Sheet1!$B$200:$F$200</c:f>
              <c:numCache>
                <c:formatCode>General</c:formatCode>
                <c:ptCount val="5"/>
              </c:numCache>
            </c:numRef>
          </c:val>
        </c:ser>
        <c:ser>
          <c:idx val="199"/>
          <c:order val="199"/>
          <c:tx>
            <c:strRef>
              <c:f>Sheet1!$A$201</c:f>
              <c:strCache>
                <c:ptCount val="1"/>
              </c:strCache>
            </c:strRef>
          </c:tx>
          <c:spPr>
            <a:pattFill prst="pct2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Sheet1!$B$201:$F$201</c:f>
              <c:numCache>
                <c:formatCode>General</c:formatCode>
                <c:ptCount val="5"/>
              </c:numCache>
            </c:numRef>
          </c:val>
        </c:ser>
        <c:ser>
          <c:idx val="200"/>
          <c:order val="200"/>
          <c:tx>
            <c:strRef>
              <c:f>Sheet1!$A$202</c:f>
              <c:strCache>
                <c:ptCount val="1"/>
              </c:strCache>
            </c:strRef>
          </c:tx>
          <c:spPr>
            <a:pattFill prst="pct2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Sheet1!$B$202:$F$202</c:f>
              <c:numCache>
                <c:formatCode>General</c:formatCode>
                <c:ptCount val="5"/>
              </c:numCache>
            </c:numRef>
          </c:val>
        </c:ser>
        <c:ser>
          <c:idx val="201"/>
          <c:order val="201"/>
          <c:tx>
            <c:strRef>
              <c:f>Sheet1!$A$203</c:f>
              <c:strCache>
                <c:ptCount val="1"/>
              </c:strCache>
            </c:strRef>
          </c:tx>
          <c:spPr>
            <a:pattFill prst="pct2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Sheet1!$B$203:$F$203</c:f>
              <c:numCache>
                <c:formatCode>General</c:formatCode>
                <c:ptCount val="5"/>
              </c:numCache>
            </c:numRef>
          </c:val>
        </c:ser>
        <c:ser>
          <c:idx val="202"/>
          <c:order val="202"/>
          <c:tx>
            <c:strRef>
              <c:f>Sheet1!$A$204</c:f>
              <c:strCache>
                <c:ptCount val="1"/>
              </c:strCache>
            </c:strRef>
          </c:tx>
          <c:spPr>
            <a:pattFill prst="pct2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Sheet1!$B$204:$F$204</c:f>
              <c:numCache>
                <c:formatCode>General</c:formatCode>
                <c:ptCount val="5"/>
              </c:numCache>
            </c:numRef>
          </c:val>
        </c:ser>
        <c:ser>
          <c:idx val="203"/>
          <c:order val="203"/>
          <c:tx>
            <c:strRef>
              <c:f>Sheet1!$A$205</c:f>
              <c:strCache>
                <c:ptCount val="1"/>
              </c:strCache>
            </c:strRef>
          </c:tx>
          <c:spPr>
            <a:pattFill prst="pct2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Sheet1!$B$205:$F$205</c:f>
              <c:numCache>
                <c:formatCode>General</c:formatCode>
                <c:ptCount val="5"/>
              </c:numCache>
            </c:numRef>
          </c:val>
        </c:ser>
        <c:ser>
          <c:idx val="204"/>
          <c:order val="204"/>
          <c:tx>
            <c:strRef>
              <c:f>Sheet1!$A$206</c:f>
              <c:strCache>
                <c:ptCount val="1"/>
              </c:strCache>
            </c:strRef>
          </c:tx>
          <c:spPr>
            <a:pattFill prst="pct2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Sheet1!$B$206:$F$206</c:f>
              <c:numCache>
                <c:formatCode>General</c:formatCode>
                <c:ptCount val="5"/>
              </c:numCache>
            </c:numRef>
          </c:val>
        </c:ser>
        <c:ser>
          <c:idx val="205"/>
          <c:order val="205"/>
          <c:tx>
            <c:strRef>
              <c:f>Sheet1!$A$207</c:f>
              <c:strCache>
                <c:ptCount val="1"/>
              </c:strCache>
            </c:strRef>
          </c:tx>
          <c:spPr>
            <a:pattFill prst="pct2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Sheet1!$B$207:$F$207</c:f>
              <c:numCache>
                <c:formatCode>General</c:formatCode>
                <c:ptCount val="5"/>
              </c:numCache>
            </c:numRef>
          </c:val>
        </c:ser>
        <c:ser>
          <c:idx val="206"/>
          <c:order val="206"/>
          <c:tx>
            <c:strRef>
              <c:f>Sheet1!$A$208</c:f>
              <c:strCache>
                <c:ptCount val="1"/>
              </c:strCache>
            </c:strRef>
          </c:tx>
          <c:spPr>
            <a:pattFill prst="pct2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Sheet1!$B$208:$F$208</c:f>
              <c:numCache>
                <c:formatCode>General</c:formatCode>
                <c:ptCount val="5"/>
              </c:numCache>
            </c:numRef>
          </c:val>
        </c:ser>
        <c:ser>
          <c:idx val="207"/>
          <c:order val="207"/>
          <c:tx>
            <c:strRef>
              <c:f>Sheet1!$A$209</c:f>
              <c:strCache>
                <c:ptCount val="1"/>
              </c:strCache>
            </c:strRef>
          </c:tx>
          <c:spPr>
            <a:pattFill prst="pct2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Sheet1!$B$209:$F$209</c:f>
              <c:numCache>
                <c:formatCode>General</c:formatCode>
                <c:ptCount val="5"/>
              </c:numCache>
            </c:numRef>
          </c:val>
        </c:ser>
        <c:ser>
          <c:idx val="208"/>
          <c:order val="208"/>
          <c:tx>
            <c:strRef>
              <c:f>Sheet1!$A$210</c:f>
              <c:strCache>
                <c:ptCount val="1"/>
              </c:strCache>
            </c:strRef>
          </c:tx>
          <c:spPr>
            <a:pattFill prst="pct2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Sheet1!$B$210:$F$210</c:f>
              <c:numCache>
                <c:formatCode>General</c:formatCode>
                <c:ptCount val="5"/>
              </c:numCache>
            </c:numRef>
          </c:val>
        </c:ser>
        <c:ser>
          <c:idx val="209"/>
          <c:order val="209"/>
          <c:tx>
            <c:strRef>
              <c:f>Sheet1!$A$211</c:f>
              <c:strCache>
                <c:ptCount val="1"/>
              </c:strCache>
            </c:strRef>
          </c:tx>
          <c:spPr>
            <a:pattFill prst="pct2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Sheet1!$B$211:$F$211</c:f>
              <c:numCache>
                <c:formatCode>General</c:formatCode>
                <c:ptCount val="5"/>
              </c:numCache>
            </c:numRef>
          </c:val>
        </c:ser>
        <c:ser>
          <c:idx val="210"/>
          <c:order val="210"/>
          <c:tx>
            <c:strRef>
              <c:f>Sheet1!$A$212</c:f>
              <c:strCache>
                <c:ptCount val="1"/>
              </c:strCache>
            </c:strRef>
          </c:tx>
          <c:spPr>
            <a:pattFill prst="pct2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Sheet1!$B$212:$F$212</c:f>
              <c:numCache>
                <c:formatCode>General</c:formatCode>
                <c:ptCount val="5"/>
              </c:numCache>
            </c:numRef>
          </c:val>
        </c:ser>
        <c:ser>
          <c:idx val="211"/>
          <c:order val="211"/>
          <c:tx>
            <c:strRef>
              <c:f>Sheet1!$A$213</c:f>
              <c:strCache>
                <c:ptCount val="1"/>
              </c:strCache>
            </c:strRef>
          </c:tx>
          <c:spPr>
            <a:pattFill prst="pct2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Sheet1!$B$213:$F$213</c:f>
              <c:numCache>
                <c:formatCode>General</c:formatCode>
                <c:ptCount val="5"/>
              </c:numCache>
            </c:numRef>
          </c:val>
        </c:ser>
        <c:ser>
          <c:idx val="212"/>
          <c:order val="212"/>
          <c:tx>
            <c:strRef>
              <c:f>Sheet1!$A$214</c:f>
              <c:strCache>
                <c:ptCount val="1"/>
              </c:strCache>
            </c:strRef>
          </c:tx>
          <c:spPr>
            <a:pattFill prst="pct2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Sheet1!$B$214:$F$214</c:f>
              <c:numCache>
                <c:formatCode>General</c:formatCode>
                <c:ptCount val="5"/>
              </c:numCache>
            </c:numRef>
          </c:val>
        </c:ser>
        <c:ser>
          <c:idx val="213"/>
          <c:order val="213"/>
          <c:tx>
            <c:strRef>
              <c:f>Sheet1!$A$215</c:f>
              <c:strCache>
                <c:ptCount val="1"/>
              </c:strCache>
            </c:strRef>
          </c:tx>
          <c:spPr>
            <a:pattFill prst="pct2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Sheet1!$B$215:$F$215</c:f>
              <c:numCache>
                <c:formatCode>General</c:formatCode>
                <c:ptCount val="5"/>
              </c:numCache>
            </c:numRef>
          </c:val>
        </c:ser>
        <c:ser>
          <c:idx val="214"/>
          <c:order val="214"/>
          <c:tx>
            <c:strRef>
              <c:f>Sheet1!$A$216</c:f>
              <c:strCache>
                <c:ptCount val="1"/>
              </c:strCache>
            </c:strRef>
          </c:tx>
          <c:spPr>
            <a:pattFill prst="pct2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Sheet1!$B$216:$F$216</c:f>
              <c:numCache>
                <c:formatCode>General</c:formatCode>
                <c:ptCount val="5"/>
              </c:numCache>
            </c:numRef>
          </c:val>
        </c:ser>
        <c:ser>
          <c:idx val="215"/>
          <c:order val="215"/>
          <c:tx>
            <c:strRef>
              <c:f>Sheet1!$A$217</c:f>
              <c:strCache>
                <c:ptCount val="1"/>
              </c:strCache>
            </c:strRef>
          </c:tx>
          <c:spPr>
            <a:pattFill prst="pct2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Sheet1!$B$217:$F$217</c:f>
              <c:numCache>
                <c:formatCode>General</c:formatCode>
                <c:ptCount val="5"/>
              </c:numCache>
            </c:numRef>
          </c:val>
        </c:ser>
        <c:ser>
          <c:idx val="216"/>
          <c:order val="216"/>
          <c:tx>
            <c:strRef>
              <c:f>Sheet1!$A$218</c:f>
              <c:strCache>
                <c:ptCount val="1"/>
              </c:strCache>
            </c:strRef>
          </c:tx>
          <c:spPr>
            <a:pattFill prst="pct2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Sheet1!$B$218:$F$218</c:f>
              <c:numCache>
                <c:formatCode>General</c:formatCode>
                <c:ptCount val="5"/>
              </c:numCache>
            </c:numRef>
          </c:val>
        </c:ser>
        <c:ser>
          <c:idx val="217"/>
          <c:order val="217"/>
          <c:tx>
            <c:strRef>
              <c:f>Sheet1!$A$219</c:f>
              <c:strCache>
                <c:ptCount val="1"/>
              </c:strCache>
            </c:strRef>
          </c:tx>
          <c:spPr>
            <a:pattFill prst="pct2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Sheet1!$B$219:$F$219</c:f>
              <c:numCache>
                <c:formatCode>General</c:formatCode>
                <c:ptCount val="5"/>
              </c:numCache>
            </c:numRef>
          </c:val>
        </c:ser>
        <c:ser>
          <c:idx val="218"/>
          <c:order val="218"/>
          <c:tx>
            <c:strRef>
              <c:f>Sheet1!$A$220</c:f>
              <c:strCache>
                <c:ptCount val="1"/>
              </c:strCache>
            </c:strRef>
          </c:tx>
          <c:spPr>
            <a:pattFill prst="pct2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Sheet1!$B$220:$F$220</c:f>
              <c:numCache>
                <c:formatCode>General</c:formatCode>
                <c:ptCount val="5"/>
              </c:numCache>
            </c:numRef>
          </c:val>
        </c:ser>
        <c:ser>
          <c:idx val="219"/>
          <c:order val="219"/>
          <c:tx>
            <c:strRef>
              <c:f>Sheet1!$A$221</c:f>
              <c:strCache>
                <c:ptCount val="1"/>
              </c:strCache>
            </c:strRef>
          </c:tx>
          <c:spPr>
            <a:pattFill prst="pct2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Sheet1!$B$221:$F$221</c:f>
              <c:numCache>
                <c:formatCode>General</c:formatCode>
                <c:ptCount val="5"/>
              </c:numCache>
            </c:numRef>
          </c:val>
        </c:ser>
        <c:ser>
          <c:idx val="220"/>
          <c:order val="220"/>
          <c:tx>
            <c:strRef>
              <c:f>Sheet1!$A$222</c:f>
              <c:strCache>
                <c:ptCount val="1"/>
              </c:strCache>
            </c:strRef>
          </c:tx>
          <c:spPr>
            <a:pattFill prst="pct2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Sheet1!$B$222:$F$222</c:f>
              <c:numCache>
                <c:formatCode>General</c:formatCode>
                <c:ptCount val="5"/>
              </c:numCache>
            </c:numRef>
          </c:val>
        </c:ser>
        <c:ser>
          <c:idx val="221"/>
          <c:order val="221"/>
          <c:tx>
            <c:strRef>
              <c:f>Sheet1!$A$223</c:f>
              <c:strCache>
                <c:ptCount val="1"/>
              </c:strCache>
            </c:strRef>
          </c:tx>
          <c:spPr>
            <a:pattFill prst="pct25">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Sheet1!$B$223:$F$223</c:f>
              <c:numCache>
                <c:formatCode>General</c:formatCode>
                <c:ptCount val="5"/>
              </c:numCache>
            </c:numRef>
          </c:val>
        </c:ser>
        <c:ser>
          <c:idx val="222"/>
          <c:order val="222"/>
          <c:tx>
            <c:strRef>
              <c:f>Sheet1!$A$224</c:f>
              <c:strCache>
                <c:ptCount val="1"/>
              </c:strCache>
            </c:strRef>
          </c:tx>
          <c:spPr>
            <a:pattFill prst="pct25">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Sheet1!$B$224:$F$224</c:f>
              <c:numCache>
                <c:formatCode>General</c:formatCode>
                <c:ptCount val="5"/>
              </c:numCache>
            </c:numRef>
          </c:val>
        </c:ser>
        <c:ser>
          <c:idx val="223"/>
          <c:order val="223"/>
          <c:tx>
            <c:strRef>
              <c:f>Sheet1!$A$225</c:f>
              <c:strCache>
                <c:ptCount val="1"/>
              </c:strCache>
            </c:strRef>
          </c:tx>
          <c:spPr>
            <a:pattFill prst="pct25">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Sheet1!$B$225:$F$225</c:f>
              <c:numCache>
                <c:formatCode>General</c:formatCode>
                <c:ptCount val="5"/>
              </c:numCache>
            </c:numRef>
          </c:val>
        </c:ser>
        <c:ser>
          <c:idx val="224"/>
          <c:order val="224"/>
          <c:tx>
            <c:strRef>
              <c:f>Sheet1!$A$226</c:f>
              <c:strCache>
                <c:ptCount val="1"/>
              </c:strCache>
            </c:strRef>
          </c:tx>
          <c:spPr>
            <a:pattFill prst="pct25">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Sheet1!$B$226:$F$226</c:f>
              <c:numCache>
                <c:formatCode>General</c:formatCode>
                <c:ptCount val="5"/>
              </c:numCache>
            </c:numRef>
          </c:val>
        </c:ser>
        <c:ser>
          <c:idx val="225"/>
          <c:order val="225"/>
          <c:tx>
            <c:strRef>
              <c:f>Sheet1!$A$227</c:f>
              <c:strCache>
                <c:ptCount val="1"/>
              </c:strCache>
            </c:strRef>
          </c:tx>
          <c:spPr>
            <a:pattFill prst="pct25">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Sheet1!$B$227:$F$227</c:f>
              <c:numCache>
                <c:formatCode>General</c:formatCode>
                <c:ptCount val="5"/>
              </c:numCache>
            </c:numRef>
          </c:val>
        </c:ser>
        <c:ser>
          <c:idx val="226"/>
          <c:order val="226"/>
          <c:tx>
            <c:strRef>
              <c:f>Sheet1!$A$228</c:f>
              <c:strCache>
                <c:ptCount val="1"/>
              </c:strCache>
            </c:strRef>
          </c:tx>
          <c:spPr>
            <a:pattFill prst="pct25">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Sheet1!$B$228:$F$228</c:f>
              <c:numCache>
                <c:formatCode>General</c:formatCode>
                <c:ptCount val="5"/>
              </c:numCache>
            </c:numRef>
          </c:val>
        </c:ser>
        <c:ser>
          <c:idx val="227"/>
          <c:order val="227"/>
          <c:tx>
            <c:strRef>
              <c:f>Sheet1!$A$229</c:f>
              <c:strCache>
                <c:ptCount val="1"/>
              </c:strCache>
            </c:strRef>
          </c:tx>
          <c:spPr>
            <a:pattFill prst="pct25">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Sheet1!$B$229:$F$229</c:f>
              <c:numCache>
                <c:formatCode>General</c:formatCode>
                <c:ptCount val="5"/>
              </c:numCache>
            </c:numRef>
          </c:val>
        </c:ser>
        <c:ser>
          <c:idx val="228"/>
          <c:order val="228"/>
          <c:tx>
            <c:strRef>
              <c:f>Sheet1!$A$230</c:f>
              <c:strCache>
                <c:ptCount val="1"/>
              </c:strCache>
            </c:strRef>
          </c:tx>
          <c:spPr>
            <a:pattFill prst="pct25">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Sheet1!$B$230:$F$230</c:f>
              <c:numCache>
                <c:formatCode>General</c:formatCode>
                <c:ptCount val="5"/>
              </c:numCache>
            </c:numRef>
          </c:val>
        </c:ser>
        <c:ser>
          <c:idx val="229"/>
          <c:order val="229"/>
          <c:tx>
            <c:strRef>
              <c:f>Sheet1!$A$231</c:f>
              <c:strCache>
                <c:ptCount val="1"/>
              </c:strCache>
            </c:strRef>
          </c:tx>
          <c:spPr>
            <a:pattFill prst="pct25">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Sheet1!$B$231:$F$231</c:f>
              <c:numCache>
                <c:formatCode>General</c:formatCode>
                <c:ptCount val="5"/>
              </c:numCache>
            </c:numRef>
          </c:val>
        </c:ser>
        <c:ser>
          <c:idx val="230"/>
          <c:order val="230"/>
          <c:tx>
            <c:strRef>
              <c:f>Sheet1!$A$232</c:f>
              <c:strCache>
                <c:ptCount val="1"/>
              </c:strCache>
            </c:strRef>
          </c:tx>
          <c:spPr>
            <a:pattFill prst="pct25">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Sheet1!$B$232:$F$232</c:f>
              <c:numCache>
                <c:formatCode>General</c:formatCode>
                <c:ptCount val="5"/>
              </c:numCache>
            </c:numRef>
          </c:val>
        </c:ser>
        <c:ser>
          <c:idx val="231"/>
          <c:order val="231"/>
          <c:tx>
            <c:strRef>
              <c:f>Sheet1!$A$233</c:f>
              <c:strCache>
                <c:ptCount val="1"/>
              </c:strCache>
            </c:strRef>
          </c:tx>
          <c:spPr>
            <a:pattFill prst="pct25">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Sheet1!$B$233:$F$233</c:f>
              <c:numCache>
                <c:formatCode>General</c:formatCode>
                <c:ptCount val="5"/>
              </c:numCache>
            </c:numRef>
          </c:val>
        </c:ser>
        <c:ser>
          <c:idx val="232"/>
          <c:order val="232"/>
          <c:tx>
            <c:strRef>
              <c:f>Sheet1!$A$234</c:f>
              <c:strCache>
                <c:ptCount val="1"/>
              </c:strCache>
            </c:strRef>
          </c:tx>
          <c:spPr>
            <a:pattFill prst="pct25">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Sheet1!$B$234:$F$234</c:f>
              <c:numCache>
                <c:formatCode>General</c:formatCode>
                <c:ptCount val="5"/>
              </c:numCache>
            </c:numRef>
          </c:val>
        </c:ser>
        <c:ser>
          <c:idx val="233"/>
          <c:order val="233"/>
          <c:tx>
            <c:strRef>
              <c:f>Sheet1!$A$235</c:f>
              <c:strCache>
                <c:ptCount val="1"/>
              </c:strCache>
            </c:strRef>
          </c:tx>
          <c:spPr>
            <a:pattFill prst="pct25">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Sheet1!$B$235:$F$235</c:f>
              <c:numCache>
                <c:formatCode>General</c:formatCode>
                <c:ptCount val="5"/>
              </c:numCache>
            </c:numRef>
          </c:val>
        </c:ser>
        <c:ser>
          <c:idx val="234"/>
          <c:order val="234"/>
          <c:tx>
            <c:strRef>
              <c:f>Sheet1!$A$236</c:f>
              <c:strCache>
                <c:ptCount val="1"/>
              </c:strCache>
            </c:strRef>
          </c:tx>
          <c:spPr>
            <a:pattFill prst="pct25">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Sheet1!$B$236:$F$236</c:f>
              <c:numCache>
                <c:formatCode>General</c:formatCode>
                <c:ptCount val="5"/>
              </c:numCache>
            </c:numRef>
          </c:val>
        </c:ser>
        <c:ser>
          <c:idx val="235"/>
          <c:order val="235"/>
          <c:tx>
            <c:strRef>
              <c:f>Sheet1!$A$237</c:f>
              <c:strCache>
                <c:ptCount val="1"/>
              </c:strCache>
            </c:strRef>
          </c:tx>
          <c:spPr>
            <a:pattFill prst="pct25">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Sheet1!$B$237:$F$237</c:f>
              <c:numCache>
                <c:formatCode>General</c:formatCode>
                <c:ptCount val="5"/>
              </c:numCache>
            </c:numRef>
          </c:val>
        </c:ser>
        <c:ser>
          <c:idx val="236"/>
          <c:order val="236"/>
          <c:tx>
            <c:strRef>
              <c:f>Sheet1!$A$238</c:f>
              <c:strCache>
                <c:ptCount val="1"/>
              </c:strCache>
            </c:strRef>
          </c:tx>
          <c:spPr>
            <a:pattFill prst="pct25">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Sheet1!$B$238:$F$238</c:f>
              <c:numCache>
                <c:formatCode>General</c:formatCode>
                <c:ptCount val="5"/>
              </c:numCache>
            </c:numRef>
          </c:val>
        </c:ser>
        <c:ser>
          <c:idx val="237"/>
          <c:order val="237"/>
          <c:tx>
            <c:strRef>
              <c:f>Sheet1!$A$239</c:f>
              <c:strCache>
                <c:ptCount val="1"/>
              </c:strCache>
            </c:strRef>
          </c:tx>
          <c:spPr>
            <a:pattFill prst="pct25">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Sheet1!$B$239:$F$239</c:f>
              <c:numCache>
                <c:formatCode>General</c:formatCode>
                <c:ptCount val="5"/>
              </c:numCache>
            </c:numRef>
          </c:val>
        </c:ser>
        <c:ser>
          <c:idx val="238"/>
          <c:order val="238"/>
          <c:tx>
            <c:strRef>
              <c:f>Sheet1!$A$240</c:f>
              <c:strCache>
                <c:ptCount val="1"/>
              </c:strCache>
            </c:strRef>
          </c:tx>
          <c:spPr>
            <a:pattFill prst="pct25">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Sheet1!$B$240:$F$240</c:f>
              <c:numCache>
                <c:formatCode>General</c:formatCode>
                <c:ptCount val="5"/>
              </c:numCache>
            </c:numRef>
          </c:val>
        </c:ser>
        <c:ser>
          <c:idx val="239"/>
          <c:order val="239"/>
          <c:tx>
            <c:strRef>
              <c:f>Sheet1!$A$241</c:f>
              <c:strCache>
                <c:ptCount val="1"/>
              </c:strCache>
            </c:strRef>
          </c:tx>
          <c:spPr>
            <a:pattFill prst="pct25">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Sheet1!$B$241:$F$241</c:f>
              <c:numCache>
                <c:formatCode>General</c:formatCode>
                <c:ptCount val="5"/>
              </c:numCache>
            </c:numRef>
          </c:val>
        </c:ser>
        <c:ser>
          <c:idx val="240"/>
          <c:order val="240"/>
          <c:tx>
            <c:strRef>
              <c:f>Sheet1!$A$242</c:f>
              <c:strCache>
                <c:ptCount val="1"/>
              </c:strCache>
            </c:strRef>
          </c:tx>
          <c:spPr>
            <a:pattFill prst="pct25">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Sheet1!$B$242:$F$242</c:f>
              <c:numCache>
                <c:formatCode>General</c:formatCode>
                <c:ptCount val="5"/>
              </c:numCache>
            </c:numRef>
          </c:val>
        </c:ser>
        <c:ser>
          <c:idx val="241"/>
          <c:order val="241"/>
          <c:tx>
            <c:strRef>
              <c:f>Sheet1!$A$243</c:f>
              <c:strCache>
                <c:ptCount val="1"/>
              </c:strCache>
            </c:strRef>
          </c:tx>
          <c:spPr>
            <a:pattFill prst="pct25">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Sheet1!$B$243:$F$243</c:f>
              <c:numCache>
                <c:formatCode>General</c:formatCode>
                <c:ptCount val="5"/>
              </c:numCache>
            </c:numRef>
          </c:val>
        </c:ser>
        <c:ser>
          <c:idx val="242"/>
          <c:order val="242"/>
          <c:tx>
            <c:strRef>
              <c:f>Sheet1!$A$244</c:f>
              <c:strCache>
                <c:ptCount val="1"/>
              </c:strCache>
            </c:strRef>
          </c:tx>
          <c:spPr>
            <a:pattFill prst="pct25">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Sheet1!$B$244:$F$244</c:f>
              <c:numCache>
                <c:formatCode>General</c:formatCode>
                <c:ptCount val="5"/>
              </c:numCache>
            </c:numRef>
          </c:val>
        </c:ser>
        <c:ser>
          <c:idx val="243"/>
          <c:order val="243"/>
          <c:tx>
            <c:strRef>
              <c:f>Sheet1!$A$245</c:f>
              <c:strCache>
                <c:ptCount val="1"/>
              </c:strCache>
            </c:strRef>
          </c:tx>
          <c:spPr>
            <a:pattFill prst="pct25">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Sheet1!$B$245:$F$245</c:f>
              <c:numCache>
                <c:formatCode>General</c:formatCode>
                <c:ptCount val="5"/>
              </c:numCache>
            </c:numRef>
          </c:val>
        </c:ser>
        <c:ser>
          <c:idx val="244"/>
          <c:order val="244"/>
          <c:tx>
            <c:strRef>
              <c:f>Sheet1!$A$246</c:f>
              <c:strCache>
                <c:ptCount val="1"/>
              </c:strCache>
            </c:strRef>
          </c:tx>
          <c:spPr>
            <a:pattFill prst="pct25">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Sheet1!$B$246:$F$246</c:f>
              <c:numCache>
                <c:formatCode>General</c:formatCode>
                <c:ptCount val="5"/>
              </c:numCache>
            </c:numRef>
          </c:val>
        </c:ser>
        <c:ser>
          <c:idx val="245"/>
          <c:order val="245"/>
          <c:tx>
            <c:strRef>
              <c:f>Sheet1!$A$247</c:f>
              <c:strCache>
                <c:ptCount val="1"/>
              </c:strCache>
            </c:strRef>
          </c:tx>
          <c:spPr>
            <a:pattFill prst="pct25">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Sheet1!$B$247:$F$247</c:f>
              <c:numCache>
                <c:formatCode>General</c:formatCode>
                <c:ptCount val="5"/>
              </c:numCache>
            </c:numRef>
          </c:val>
        </c:ser>
        <c:ser>
          <c:idx val="246"/>
          <c:order val="246"/>
          <c:tx>
            <c:strRef>
              <c:f>Sheet1!$A$248</c:f>
              <c:strCache>
                <c:ptCount val="1"/>
              </c:strCache>
            </c:strRef>
          </c:tx>
          <c:spPr>
            <a:pattFill prst="pct25">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Sheet1!$B$248:$F$248</c:f>
              <c:numCache>
                <c:formatCode>General</c:formatCode>
                <c:ptCount val="5"/>
              </c:numCache>
            </c:numRef>
          </c:val>
        </c:ser>
        <c:ser>
          <c:idx val="247"/>
          <c:order val="247"/>
          <c:tx>
            <c:strRef>
              <c:f>Sheet1!$A$249</c:f>
              <c:strCache>
                <c:ptCount val="1"/>
              </c:strCache>
            </c:strRef>
          </c:tx>
          <c:spPr>
            <a:pattFill prst="pct25">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Sheet1!$B$249:$F$249</c:f>
              <c:numCache>
                <c:formatCode>General</c:formatCode>
                <c:ptCount val="5"/>
              </c:numCache>
            </c:numRef>
          </c:val>
        </c:ser>
        <c:ser>
          <c:idx val="248"/>
          <c:order val="248"/>
          <c:tx>
            <c:strRef>
              <c:f>Sheet1!$A$250</c:f>
              <c:strCache>
                <c:ptCount val="1"/>
              </c:strCache>
            </c:strRef>
          </c:tx>
          <c:spPr>
            <a:pattFill prst="pct25">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Sheet1!$B$250:$F$250</c:f>
              <c:numCache>
                <c:formatCode>General</c:formatCode>
                <c:ptCount val="5"/>
              </c:numCache>
            </c:numRef>
          </c:val>
        </c:ser>
        <c:ser>
          <c:idx val="249"/>
          <c:order val="249"/>
          <c:tx>
            <c:strRef>
              <c:f>Sheet1!$A$251</c:f>
              <c:strCache>
                <c:ptCount val="1"/>
              </c:strCache>
            </c:strRef>
          </c:tx>
          <c:spPr>
            <a:pattFill prst="pct25">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Sheet1!$B$251:$F$251</c:f>
              <c:numCache>
                <c:formatCode>General</c:formatCode>
                <c:ptCount val="5"/>
              </c:numCache>
            </c:numRef>
          </c:val>
        </c:ser>
        <c:ser>
          <c:idx val="250"/>
          <c:order val="250"/>
          <c:tx>
            <c:strRef>
              <c:f>Sheet1!$A$252</c:f>
              <c:strCache>
                <c:ptCount val="1"/>
              </c:strCache>
            </c:strRef>
          </c:tx>
          <c:spPr>
            <a:pattFill prst="pct25">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Sheet1!$B$252:$F$252</c:f>
              <c:numCache>
                <c:formatCode>General</c:formatCode>
                <c:ptCount val="5"/>
              </c:numCache>
            </c:numRef>
          </c:val>
        </c:ser>
        <c:ser>
          <c:idx val="251"/>
          <c:order val="251"/>
          <c:tx>
            <c:strRef>
              <c:f>Sheet1!$A$253</c:f>
              <c:strCache>
                <c:ptCount val="1"/>
              </c:strCache>
            </c:strRef>
          </c:tx>
          <c:spPr>
            <a:pattFill prst="pct25">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Sheet1!$B$253:$F$253</c:f>
              <c:numCache>
                <c:formatCode>General</c:formatCode>
                <c:ptCount val="5"/>
              </c:numCache>
            </c:numRef>
          </c:val>
        </c:ser>
        <c:ser>
          <c:idx val="252"/>
          <c:order val="252"/>
          <c:tx>
            <c:strRef>
              <c:f>Sheet1!$A$254</c:f>
              <c:strCache>
                <c:ptCount val="1"/>
              </c:strCache>
            </c:strRef>
          </c:tx>
          <c:spPr>
            <a:pattFill prst="pct25">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Sheet1!$B$254:$F$254</c:f>
              <c:numCache>
                <c:formatCode>General</c:formatCode>
                <c:ptCount val="5"/>
              </c:numCache>
            </c:numRef>
          </c:val>
        </c:ser>
        <c:ser>
          <c:idx val="253"/>
          <c:order val="253"/>
          <c:tx>
            <c:strRef>
              <c:f>Sheet1!$A$255</c:f>
              <c:strCache>
                <c:ptCount val="1"/>
              </c:strCache>
            </c:strRef>
          </c:tx>
          <c:spPr>
            <a:pattFill prst="pct25">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Sheet1!$B$255:$F$255</c:f>
              <c:numCache>
                <c:formatCode>General</c:formatCode>
                <c:ptCount val="5"/>
              </c:numCache>
            </c:numRef>
          </c:val>
        </c:ser>
        <c:ser>
          <c:idx val="254"/>
          <c:order val="254"/>
          <c:tx>
            <c:strRef>
              <c:f>Sheet1!$A$256</c:f>
              <c:strCache>
                <c:ptCount val="1"/>
              </c:strCache>
            </c:strRef>
          </c:tx>
          <c:spPr>
            <a:pattFill prst="pct25">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cat>
            <c:strRef>
              <c:f>Sheet1!$B$1:$F$1</c:f>
              <c:strCache>
                <c:ptCount val="5"/>
                <c:pt idx="0">
                  <c:v>Bid.Idiologi &amp; Wasbang</c:v>
                </c:pt>
                <c:pt idx="1">
                  <c:v>Bid.Kewaspadaan</c:v>
                </c:pt>
                <c:pt idx="2">
                  <c:v>Bid.Binmas</c:v>
                </c:pt>
                <c:pt idx="3">
                  <c:v>Bid.Poldagri</c:v>
                </c:pt>
                <c:pt idx="4">
                  <c:v>Sekretariat</c:v>
                </c:pt>
              </c:strCache>
            </c:strRef>
          </c:cat>
          <c:val>
            <c:numRef>
              <c:f>Sheet1!$B$256:$F$256</c:f>
              <c:numCache>
                <c:formatCode>General</c:formatCode>
                <c:ptCount val="5"/>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3180092787853204"/>
          <c:y val="0.18722860791826301"/>
          <c:w val="0.35723323492197401"/>
          <c:h val="0.72209450830140498"/>
        </c:manualLayout>
      </c:layout>
      <c:overlay val="0"/>
      <c:spPr>
        <a:solidFill>
          <a:sysClr val="window" lastClr="FFFFFF"/>
        </a:solidFill>
        <a:ln w="25381">
          <a:solidFill>
            <a:srgbClr val="006600"/>
          </a:solidFill>
          <a:prstDash val="solid"/>
        </a:ln>
      </c:spPr>
      <c:txPr>
        <a:bodyPr rot="0" spcFirstLastPara="0" vertOverflow="ellipsis" vert="horz" wrap="square" anchor="ctr" anchorCtr="1"/>
        <a:lstStyle/>
        <a:p>
          <a:pPr>
            <a:defRPr lang="en-US" sz="1010" b="0" i="0" u="none" strike="noStrike" kern="1200" baseline="0">
              <a:solidFill>
                <a:srgbClr val="000000"/>
              </a:solidFill>
              <a:latin typeface="Berlin Sans FB" pitchFamily="34" charset="0"/>
              <a:ea typeface="Batang"/>
              <a:cs typeface="Batang"/>
            </a:defRPr>
          </a:pPr>
          <a:endParaRPr lang="en-US"/>
        </a:p>
      </c:txPr>
    </c:legend>
    <c:plotVisOnly val="1"/>
    <c:dispBlanksAs val="zero"/>
    <c:showDLblsOverMax val="0"/>
  </c:chart>
  <c:spPr>
    <a:solidFill>
      <a:sysClr val="window" lastClr="FFFFFF"/>
    </a:solidFill>
    <a:ln w="38100" cap="flat" cmpd="sng" algn="ctr">
      <a:solidFill>
        <a:sysClr val="windowText" lastClr="000000"/>
      </a:solidFill>
      <a:prstDash val="solid"/>
      <a:miter lim="800000"/>
      <a:headEnd type="none" w="med" len="med"/>
      <a:tailEnd type="none" w="med" len="med"/>
    </a:ln>
  </c:spPr>
  <c:txPr>
    <a:bodyPr/>
    <a:lstStyle/>
    <a:p>
      <a:pPr>
        <a:defRPr lang="en-US" sz="1175" b="1" i="0" u="none" strike="noStrike" baseline="0">
          <a:solidFill>
            <a:srgbClr val="000000"/>
          </a:solidFill>
          <a:latin typeface="Calibri" panose="020F0502020204030204"/>
          <a:ea typeface="Calibri" panose="020F0502020204030204"/>
          <a:cs typeface="Calibri" panose="020F0502020204030204"/>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100">
                <a:latin typeface="+mn-ea"/>
                <a:cs typeface="+mn-ea"/>
              </a:rPr>
              <a:t>Grafik</a:t>
            </a:r>
            <a:r>
              <a:rPr lang="en-US" sz="1100" baseline="0">
                <a:latin typeface="+mn-ea"/>
                <a:cs typeface="+mn-ea"/>
              </a:rPr>
              <a:t> 3.1</a:t>
            </a:r>
          </a:p>
          <a:p>
            <a:pPr>
              <a:defRPr lang="en-US" sz="1800" b="1" i="0" u="none" strike="noStrike" kern="1200" baseline="0">
                <a:solidFill>
                  <a:schemeClr val="tx1"/>
                </a:solidFill>
                <a:latin typeface="+mn-lt"/>
                <a:ea typeface="+mn-ea"/>
                <a:cs typeface="+mn-cs"/>
              </a:defRPr>
            </a:pPr>
            <a:r>
              <a:rPr lang="en-US" sz="1100">
                <a:latin typeface="+mn-ea"/>
                <a:cs typeface="+mn-ea"/>
              </a:rPr>
              <a:t>Nilai Evaluasi </a:t>
            </a:r>
            <a:r>
              <a:rPr lang="en-US" sz="1100">
                <a:solidFill>
                  <a:schemeClr val="tx1"/>
                </a:solidFill>
                <a:uFillTx/>
                <a:latin typeface="+mn-ea"/>
                <a:cs typeface="+mn-ea"/>
              </a:rPr>
              <a:t>Akuntabilitas </a:t>
            </a:r>
            <a:r>
              <a:rPr lang="en-US" sz="1100">
                <a:latin typeface="+mn-ea"/>
                <a:cs typeface="+mn-ea"/>
              </a:rPr>
              <a:t>Kinerja Tahun 2016-2018</a:t>
            </a:r>
          </a:p>
        </c:rich>
      </c:tx>
      <c:layout>
        <c:manualLayout>
          <c:xMode val="edge"/>
          <c:yMode val="edge"/>
          <c:x val="0.14500227760408599"/>
          <c:y val="3.55600711201422E-2"/>
        </c:manualLayout>
      </c:layout>
      <c:overlay val="0"/>
    </c:title>
    <c:autoTitleDeleted val="0"/>
    <c:plotArea>
      <c:layout/>
      <c:barChart>
        <c:barDir val="col"/>
        <c:grouping val="clustered"/>
        <c:varyColors val="0"/>
        <c:ser>
          <c:idx val="0"/>
          <c:order val="0"/>
          <c:tx>
            <c:strRef>
              <c:f>Sheet1!$B$1</c:f>
              <c:strCache>
                <c:ptCount val="1"/>
                <c:pt idx="0">
                  <c:v>Nilai Evaluasi Akuntabilitas Kinerja</c:v>
                </c:pt>
              </c:strCache>
            </c:strRef>
          </c:tx>
          <c:spPr>
            <a:gradFill>
              <a:gsLst>
                <a:gs pos="0">
                  <a:srgbClr val="E30000"/>
                </a:gs>
                <a:gs pos="100000">
                  <a:srgbClr val="760303"/>
                </a:gs>
              </a:gsLst>
              <a:lin ang="5400000" scaled="0"/>
            </a:gradFill>
          </c:spPr>
          <c:invertIfNegative val="0"/>
          <c:cat>
            <c:strRef>
              <c:f>Sheet1!$A$2:$A$4</c:f>
              <c:strCache>
                <c:ptCount val="3"/>
                <c:pt idx="0">
                  <c:v>Tahun 2016</c:v>
                </c:pt>
                <c:pt idx="1">
                  <c:v>Tahun 2017</c:v>
                </c:pt>
                <c:pt idx="2">
                  <c:v>Tahun 2018</c:v>
                </c:pt>
              </c:strCache>
            </c:strRef>
          </c:cat>
          <c:val>
            <c:numRef>
              <c:f>Sheet1!$B$2:$B$4</c:f>
              <c:numCache>
                <c:formatCode>General</c:formatCode>
                <c:ptCount val="3"/>
                <c:pt idx="0">
                  <c:v>61.35</c:v>
                </c:pt>
                <c:pt idx="1">
                  <c:v>60.92</c:v>
                </c:pt>
                <c:pt idx="2">
                  <c:v>62.5</c:v>
                </c:pt>
              </c:numCache>
            </c:numRef>
          </c:val>
        </c:ser>
        <c:dLbls>
          <c:showLegendKey val="0"/>
          <c:showVal val="0"/>
          <c:showCatName val="0"/>
          <c:showSerName val="0"/>
          <c:showPercent val="0"/>
          <c:showBubbleSize val="0"/>
        </c:dLbls>
        <c:gapWidth val="150"/>
        <c:axId val="254089472"/>
        <c:axId val="254091264"/>
      </c:barChart>
      <c:catAx>
        <c:axId val="25408947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4091264"/>
        <c:crosses val="autoZero"/>
        <c:auto val="1"/>
        <c:lblAlgn val="ctr"/>
        <c:lblOffset val="100"/>
        <c:noMultiLvlLbl val="0"/>
      </c:catAx>
      <c:valAx>
        <c:axId val="254091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408947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Realiasasi Nilai Evaluasi Akuntabilitas Kinerja</c:v>
                </c:pt>
              </c:strCache>
            </c:strRef>
          </c:tx>
          <c:spPr>
            <a:solidFill>
              <a:srgbClr val="006600"/>
            </a:solidFill>
          </c:spPr>
          <c:invertIfNegative val="0"/>
          <c:cat>
            <c:numRef>
              <c:f>Sheet1!$A$2:$A$5</c:f>
              <c:numCache>
                <c:formatCode>General</c:formatCode>
                <c:ptCount val="4"/>
                <c:pt idx="0">
                  <c:v>2016</c:v>
                </c:pt>
                <c:pt idx="1">
                  <c:v>2017</c:v>
                </c:pt>
                <c:pt idx="2">
                  <c:v>2018</c:v>
                </c:pt>
              </c:numCache>
            </c:numRef>
          </c:cat>
          <c:val>
            <c:numRef>
              <c:f>Sheet1!$B$2:$B$5</c:f>
              <c:numCache>
                <c:formatCode>General</c:formatCode>
                <c:ptCount val="4"/>
                <c:pt idx="0">
                  <c:v>61.35</c:v>
                </c:pt>
                <c:pt idx="1">
                  <c:v>60.92</c:v>
                </c:pt>
                <c:pt idx="2">
                  <c:v>62.5</c:v>
                </c:pt>
              </c:numCache>
            </c:numRef>
          </c:val>
        </c:ser>
        <c:ser>
          <c:idx val="1"/>
          <c:order val="1"/>
          <c:tx>
            <c:strRef>
              <c:f>Sheet1!$C$1</c:f>
              <c:strCache>
                <c:ptCount val="1"/>
                <c:pt idx="0">
                  <c:v>Capaian Kinerja</c:v>
                </c:pt>
              </c:strCache>
            </c:strRef>
          </c:tx>
          <c:spPr>
            <a:solidFill>
              <a:srgbClr val="C00000"/>
            </a:solidFill>
          </c:spPr>
          <c:invertIfNegative val="0"/>
          <c:cat>
            <c:numRef>
              <c:f>Sheet1!$A$2:$A$5</c:f>
              <c:numCache>
                <c:formatCode>General</c:formatCode>
                <c:ptCount val="4"/>
                <c:pt idx="0">
                  <c:v>2016</c:v>
                </c:pt>
                <c:pt idx="1">
                  <c:v>2017</c:v>
                </c:pt>
                <c:pt idx="2">
                  <c:v>2018</c:v>
                </c:pt>
              </c:numCache>
            </c:numRef>
          </c:cat>
          <c:val>
            <c:numRef>
              <c:f>Sheet1!$C$2:$C$5</c:f>
              <c:numCache>
                <c:formatCode>General</c:formatCode>
                <c:ptCount val="4"/>
                <c:pt idx="0">
                  <c:v>86.41</c:v>
                </c:pt>
                <c:pt idx="1">
                  <c:v>84.61</c:v>
                </c:pt>
                <c:pt idx="2">
                  <c:v>84.45</c:v>
                </c:pt>
              </c:numCache>
            </c:numRef>
          </c:val>
        </c:ser>
        <c:dLbls>
          <c:showLegendKey val="0"/>
          <c:showVal val="0"/>
          <c:showCatName val="0"/>
          <c:showSerName val="0"/>
          <c:showPercent val="0"/>
          <c:showBubbleSize val="0"/>
        </c:dLbls>
        <c:gapWidth val="150"/>
        <c:axId val="254116608"/>
        <c:axId val="254118144"/>
      </c:barChart>
      <c:catAx>
        <c:axId val="2541166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4118144"/>
        <c:crosses val="autoZero"/>
        <c:auto val="1"/>
        <c:lblAlgn val="ctr"/>
        <c:lblOffset val="100"/>
        <c:noMultiLvlLbl val="0"/>
      </c:catAx>
      <c:valAx>
        <c:axId val="25411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411660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sz="1600" b="1" baseline="2000">
                <a:solidFill>
                  <a:schemeClr val="tx1"/>
                </a:solidFill>
                <a:uFillTx/>
              </a:rPr>
              <a:t>Perbandingan Realisasi Fisik dan Keuangan Tahun 2016-2018</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Fisik</c:v>
                </c:pt>
              </c:strCache>
            </c:strRef>
          </c:tx>
          <c:spPr>
            <a:solidFill>
              <a:srgbClr val="C00000"/>
            </a:solidFill>
            <a:ln>
              <a:noFill/>
            </a:ln>
            <a:effectLst/>
          </c:spPr>
          <c:invertIfNegative val="0"/>
          <c:cat>
            <c:strRef>
              <c:f>Sheet1!$A$2:$A$4</c:f>
              <c:strCache>
                <c:ptCount val="3"/>
                <c:pt idx="0">
                  <c:v>Tahun 2016</c:v>
                </c:pt>
                <c:pt idx="1">
                  <c:v>Tahun 2017</c:v>
                </c:pt>
                <c:pt idx="2">
                  <c:v>Tahun 2018</c:v>
                </c:pt>
              </c:strCache>
            </c:strRef>
          </c:cat>
          <c:val>
            <c:numRef>
              <c:f>Sheet1!$B$2:$B$4</c:f>
              <c:numCache>
                <c:formatCode>General</c:formatCode>
                <c:ptCount val="3"/>
                <c:pt idx="0">
                  <c:v>96.91</c:v>
                </c:pt>
                <c:pt idx="1">
                  <c:v>99.8</c:v>
                </c:pt>
                <c:pt idx="2">
                  <c:v>99.81</c:v>
                </c:pt>
              </c:numCache>
            </c:numRef>
          </c:val>
        </c:ser>
        <c:ser>
          <c:idx val="1"/>
          <c:order val="1"/>
          <c:tx>
            <c:strRef>
              <c:f>Sheet1!$C$1</c:f>
              <c:strCache>
                <c:ptCount val="1"/>
                <c:pt idx="0">
                  <c:v>Keuangan</c:v>
                </c:pt>
              </c:strCache>
            </c:strRef>
          </c:tx>
          <c:spPr>
            <a:solidFill>
              <a:srgbClr val="FFC000"/>
            </a:solidFill>
            <a:ln>
              <a:noFill/>
            </a:ln>
            <a:effectLst/>
          </c:spPr>
          <c:invertIfNegative val="0"/>
          <c:cat>
            <c:strRef>
              <c:f>Sheet1!$A$2:$A$4</c:f>
              <c:strCache>
                <c:ptCount val="3"/>
                <c:pt idx="0">
                  <c:v>Tahun 2016</c:v>
                </c:pt>
                <c:pt idx="1">
                  <c:v>Tahun 2017</c:v>
                </c:pt>
                <c:pt idx="2">
                  <c:v>Tahun 2018</c:v>
                </c:pt>
              </c:strCache>
            </c:strRef>
          </c:cat>
          <c:val>
            <c:numRef>
              <c:f>Sheet1!$C$2:$C$4</c:f>
              <c:numCache>
                <c:formatCode>General</c:formatCode>
                <c:ptCount val="3"/>
                <c:pt idx="0">
                  <c:v>92.17</c:v>
                </c:pt>
                <c:pt idx="1">
                  <c:v>91.56</c:v>
                </c:pt>
                <c:pt idx="2">
                  <c:v>96.19</c:v>
                </c:pt>
              </c:numCache>
            </c:numRef>
          </c:val>
        </c:ser>
        <c:dLbls>
          <c:showLegendKey val="0"/>
          <c:showVal val="0"/>
          <c:showCatName val="0"/>
          <c:showSerName val="0"/>
          <c:showPercent val="0"/>
          <c:showBubbleSize val="0"/>
        </c:dLbls>
        <c:gapWidth val="219"/>
        <c:overlap val="-27"/>
        <c:axId val="267274880"/>
        <c:axId val="267301248"/>
      </c:barChart>
      <c:catAx>
        <c:axId val="2672748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00" b="0" i="0" u="none" strike="noStrike" kern="1200" cap="none" spc="0" normalizeH="0" baseline="6000">
                <a:solidFill>
                  <a:schemeClr val="tx1"/>
                </a:solidFill>
                <a:uFill>
                  <a:solidFill>
                    <a:schemeClr val="tx1">
                      <a:lumMod val="65000"/>
                      <a:lumOff val="35000"/>
                    </a:schemeClr>
                  </a:solidFill>
                </a:uFill>
                <a:latin typeface="+mn-lt"/>
                <a:ea typeface="+mn-ea"/>
                <a:cs typeface="+mn-cs"/>
              </a:defRPr>
            </a:pPr>
            <a:endParaRPr lang="en-US"/>
          </a:p>
        </c:txPr>
        <c:crossAx val="267301248"/>
        <c:crosses val="autoZero"/>
        <c:auto val="1"/>
        <c:lblAlgn val="ctr"/>
        <c:lblOffset val="100"/>
        <c:noMultiLvlLbl val="0"/>
      </c:catAx>
      <c:valAx>
        <c:axId val="26730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67274880"/>
        <c:crosses val="autoZero"/>
        <c:crossBetween val="between"/>
      </c:valAx>
      <c:spPr>
        <a:noFill/>
        <a:ln w="19050">
          <a:solidFill>
            <a:schemeClr val="tx1"/>
          </a:solidFill>
        </a:ln>
        <a:effectLst/>
      </c:spPr>
    </c:plotArea>
    <c:legend>
      <c:legendPos val="b"/>
      <c:legendEntry>
        <c:idx val="0"/>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tx1"/>
      </a:solidFill>
      <a:round/>
    </a:ln>
    <a:effectLst/>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Fisik</c:v>
                </c:pt>
              </c:strCache>
            </c:strRef>
          </c:tx>
          <c:spPr>
            <a:gradFill>
              <a:gsLst>
                <a:gs pos="0">
                  <a:srgbClr val="C00000"/>
                </a:gs>
                <a:gs pos="100000">
                  <a:srgbClr val="832B2B"/>
                </a:gs>
              </a:gsLst>
              <a:lin ang="5400000" scaled="0"/>
            </a:gradFill>
            <a:ln>
              <a:noFill/>
            </a:ln>
            <a:effectLst/>
          </c:spPr>
          <c:invertIfNegative val="0"/>
          <c:cat>
            <c:strRef>
              <c:f>Sheet1!$A$2:$A$4</c:f>
              <c:strCache>
                <c:ptCount val="3"/>
                <c:pt idx="0">
                  <c:v>Tahun 2016</c:v>
                </c:pt>
                <c:pt idx="1">
                  <c:v>Tahun 2017</c:v>
                </c:pt>
                <c:pt idx="2">
                  <c:v>Tahun 2018</c:v>
                </c:pt>
              </c:strCache>
            </c:strRef>
          </c:cat>
          <c:val>
            <c:numRef>
              <c:f>Sheet1!$B$2:$B$4</c:f>
              <c:numCache>
                <c:formatCode>General</c:formatCode>
                <c:ptCount val="3"/>
                <c:pt idx="0">
                  <c:v>101.7</c:v>
                </c:pt>
                <c:pt idx="1">
                  <c:v>105.05</c:v>
                </c:pt>
                <c:pt idx="2">
                  <c:v>105.06</c:v>
                </c:pt>
              </c:numCache>
            </c:numRef>
          </c:val>
        </c:ser>
        <c:ser>
          <c:idx val="1"/>
          <c:order val="1"/>
          <c:tx>
            <c:strRef>
              <c:f>Sheet1!$C$1</c:f>
              <c:strCache>
                <c:ptCount val="1"/>
                <c:pt idx="0">
                  <c:v>Keuangan</c:v>
                </c:pt>
              </c:strCache>
            </c:strRef>
          </c:tx>
          <c:spPr>
            <a:solidFill>
              <a:srgbClr val="00B050"/>
            </a:solidFill>
            <a:ln>
              <a:noFill/>
            </a:ln>
            <a:effectLst/>
          </c:spPr>
          <c:invertIfNegative val="0"/>
          <c:cat>
            <c:strRef>
              <c:f>Sheet1!$A$2:$A$4</c:f>
              <c:strCache>
                <c:ptCount val="3"/>
                <c:pt idx="0">
                  <c:v>Tahun 2016</c:v>
                </c:pt>
                <c:pt idx="1">
                  <c:v>Tahun 2017</c:v>
                </c:pt>
                <c:pt idx="2">
                  <c:v>Tahun 2018</c:v>
                </c:pt>
              </c:strCache>
            </c:strRef>
          </c:cat>
          <c:val>
            <c:numRef>
              <c:f>Sheet1!$C$2:$C$4</c:f>
              <c:numCache>
                <c:formatCode>General</c:formatCode>
                <c:ptCount val="3"/>
                <c:pt idx="0">
                  <c:v>97.02</c:v>
                </c:pt>
                <c:pt idx="1">
                  <c:v>96.38</c:v>
                </c:pt>
                <c:pt idx="2">
                  <c:v>101.25</c:v>
                </c:pt>
              </c:numCache>
            </c:numRef>
          </c:val>
        </c:ser>
        <c:dLbls>
          <c:showLegendKey val="0"/>
          <c:showVal val="0"/>
          <c:showCatName val="0"/>
          <c:showSerName val="0"/>
          <c:showPercent val="0"/>
          <c:showBubbleSize val="0"/>
        </c:dLbls>
        <c:gapWidth val="219"/>
        <c:overlap val="-27"/>
        <c:axId val="295016704"/>
        <c:axId val="318476288"/>
      </c:barChart>
      <c:catAx>
        <c:axId val="295016704"/>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en-US" sz="1200" b="0" i="0" u="none" strike="noStrike" kern="1200" cap="none" spc="0" normalizeH="0" baseline="6000">
                <a:solidFill>
                  <a:schemeClr val="tx1"/>
                </a:solidFill>
                <a:uFill>
                  <a:solidFill>
                    <a:schemeClr val="tx1"/>
                  </a:solidFill>
                </a:uFill>
                <a:latin typeface="+mn-lt"/>
                <a:ea typeface="+mn-ea"/>
                <a:cs typeface="+mn-cs"/>
              </a:defRPr>
            </a:pPr>
            <a:endParaRPr lang="en-US"/>
          </a:p>
        </c:txPr>
        <c:crossAx val="318476288"/>
        <c:crosses val="autoZero"/>
        <c:auto val="1"/>
        <c:lblAlgn val="ctr"/>
        <c:lblOffset val="100"/>
        <c:noMultiLvlLbl val="0"/>
      </c:catAx>
      <c:valAx>
        <c:axId val="31847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endParaRPr lang="en-US"/>
          </a:p>
        </c:txPr>
        <c:crossAx val="2950167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endParaRPr lang="en-US"/>
          </a:p>
        </c:txPr>
      </c:legendEntry>
      <c:legendEntry>
        <c:idx val="1"/>
        <c:txPr>
          <a:bodyPr rot="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tx1"/>
      </a:solidFill>
      <a:round/>
    </a:ln>
    <a:effectLst/>
  </c:spPr>
  <c:txPr>
    <a:bodyPr/>
    <a:lstStyle/>
    <a:p>
      <a:pPr>
        <a:defRPr lang="en-US" u="none" strike="noStrike" kern="1200" cap="none" spc="0" normalizeH="0" baseline="6000">
          <a:solidFill>
            <a:schemeClr val="tx1"/>
          </a:solidFill>
          <a:uFill>
            <a:solidFill>
              <a:schemeClr val="tx1"/>
            </a:solidFill>
          </a:u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t>Grafik 3.5</a:t>
            </a:r>
          </a:p>
          <a:p>
            <a:pPr>
              <a:defRPr lang="en-US" sz="1800" b="1" i="0" u="none" strike="noStrike" kern="1200" baseline="0">
                <a:solidFill>
                  <a:schemeClr val="tx1"/>
                </a:solidFill>
                <a:latin typeface="+mn-lt"/>
                <a:ea typeface="+mn-ea"/>
                <a:cs typeface="+mn-cs"/>
              </a:defRPr>
            </a:pPr>
            <a:r>
              <a:rPr lang="en-US" sz="1200"/>
              <a:t>Perbandingan jumlah konflik sosial tahun 2016-2018</a:t>
            </a:r>
          </a:p>
        </c:rich>
      </c:tx>
      <c:layout>
        <c:manualLayout>
          <c:xMode val="edge"/>
          <c:yMode val="edge"/>
          <c:x val="0.107391159137086"/>
          <c:y val="3.3830434821645002E-2"/>
        </c:manualLayout>
      </c:layout>
      <c:overlay val="0"/>
    </c:title>
    <c:autoTitleDeleted val="0"/>
    <c:plotArea>
      <c:layout>
        <c:manualLayout>
          <c:layoutTarget val="inner"/>
          <c:xMode val="edge"/>
          <c:yMode val="edge"/>
          <c:x val="0.14376904105614399"/>
          <c:y val="0.23558772148739701"/>
          <c:w val="0.51516030755839304"/>
          <c:h val="0.49139006738208102"/>
        </c:manualLayout>
      </c:layout>
      <c:barChart>
        <c:barDir val="col"/>
        <c:grouping val="clustered"/>
        <c:varyColors val="0"/>
        <c:ser>
          <c:idx val="0"/>
          <c:order val="0"/>
          <c:tx>
            <c:strRef>
              <c:f>Sheet1!$B$1</c:f>
              <c:strCache>
                <c:ptCount val="1"/>
                <c:pt idx="0">
                  <c:v>Jumlah konflik sosial</c:v>
                </c:pt>
              </c:strCache>
            </c:strRef>
          </c:tx>
          <c:spPr>
            <a:solidFill>
              <a:srgbClr val="C00000"/>
            </a:solidFill>
          </c:spPr>
          <c:invertIfNegative val="0"/>
          <c:dPt>
            <c:idx val="0"/>
            <c:invertIfNegative val="0"/>
            <c:bubble3D val="0"/>
          </c:dPt>
          <c:dPt>
            <c:idx val="1"/>
            <c:invertIfNegative val="0"/>
            <c:bubble3D val="0"/>
          </c:dPt>
          <c:dPt>
            <c:idx val="2"/>
            <c:invertIfNegative val="0"/>
            <c:bubble3D val="0"/>
          </c:dPt>
          <c:cat>
            <c:strRef>
              <c:f>Sheet1!$A$2:$A$4</c:f>
              <c:strCache>
                <c:ptCount val="3"/>
                <c:pt idx="0">
                  <c:v>Tahun 2016</c:v>
                </c:pt>
                <c:pt idx="1">
                  <c:v>Tahun 2017</c:v>
                </c:pt>
                <c:pt idx="2">
                  <c:v>Tahun 2018</c:v>
                </c:pt>
              </c:strCache>
            </c:strRef>
          </c:cat>
          <c:val>
            <c:numRef>
              <c:f>Sheet1!$B$2:$B$4</c:f>
              <c:numCache>
                <c:formatCode>General</c:formatCode>
                <c:ptCount val="3"/>
                <c:pt idx="0">
                  <c:v>4</c:v>
                </c:pt>
                <c:pt idx="1">
                  <c:v>3</c:v>
                </c:pt>
                <c:pt idx="2">
                  <c:v>2</c:v>
                </c:pt>
              </c:numCache>
            </c:numRef>
          </c:val>
        </c:ser>
        <c:ser>
          <c:idx val="1"/>
          <c:order val="1"/>
          <c:tx>
            <c:strRef>
              <c:f>Sheet1!$C$1</c:f>
              <c:strCache>
                <c:ptCount val="1"/>
              </c:strCache>
            </c:strRef>
          </c:tx>
          <c:invertIfNegative val="0"/>
          <c:cat>
            <c:strRef>
              <c:f>Sheet1!$A$2:$A$4</c:f>
              <c:strCache>
                <c:ptCount val="3"/>
                <c:pt idx="0">
                  <c:v>Tahun 2016</c:v>
                </c:pt>
                <c:pt idx="1">
                  <c:v>Tahun 2017</c:v>
                </c:pt>
                <c:pt idx="2">
                  <c:v>Tahun 2018</c:v>
                </c:pt>
              </c:strCache>
            </c:strRef>
          </c:cat>
          <c:val>
            <c:numRef>
              <c:f>Sheet1!$C$2:$C$4</c:f>
              <c:numCache>
                <c:formatCode>General</c:formatCode>
                <c:ptCount val="3"/>
              </c:numCache>
            </c:numRef>
          </c:val>
        </c:ser>
        <c:dLbls>
          <c:showLegendKey val="0"/>
          <c:showVal val="0"/>
          <c:showCatName val="0"/>
          <c:showSerName val="0"/>
          <c:showPercent val="0"/>
          <c:showBubbleSize val="0"/>
        </c:dLbls>
        <c:gapWidth val="150"/>
        <c:axId val="318502016"/>
        <c:axId val="318503552"/>
      </c:barChart>
      <c:catAx>
        <c:axId val="31850201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8503552"/>
        <c:crosses val="autoZero"/>
        <c:auto val="1"/>
        <c:lblAlgn val="ctr"/>
        <c:lblOffset val="100"/>
        <c:noMultiLvlLbl val="0"/>
      </c:catAx>
      <c:valAx>
        <c:axId val="318503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18502016"/>
        <c:crosses val="autoZero"/>
        <c:crossBetween val="between"/>
      </c:valAx>
      <c:spPr>
        <a:solidFill>
          <a:schemeClr val="bg1"/>
        </a:solidFill>
        <a:ln>
          <a:noFill/>
        </a:ln>
        <a:effectLst/>
      </c:spPr>
    </c:plotArea>
    <c:legend>
      <c:legendPos val="r"/>
      <c:legendEntry>
        <c:idx val="1"/>
        <c:delete val="1"/>
      </c:legendEntry>
      <c:layout>
        <c:manualLayout>
          <c:xMode val="edge"/>
          <c:yMode val="edge"/>
          <c:x val="0.65563187975789805"/>
          <c:y val="0.34385937439245701"/>
          <c:w val="0.307589621820545"/>
          <c:h val="0.152963144491918"/>
        </c:manualLayout>
      </c:layout>
      <c:overlay val="0"/>
      <c:spPr>
        <a:solidFill>
          <a:schemeClr val="bg1"/>
        </a:solidFill>
      </c:spP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38100" cap="flat" cmpd="sng" algn="ctr">
      <a:solidFill>
        <a:schemeClr val="tx1"/>
      </a:solidFill>
      <a:prstDash val="solid"/>
      <a:round/>
    </a:ln>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6"/>
    <customShpInfo spid="_x0000_s3073"/>
    <customShpInfo spid="_x0000_s3078"/>
    <customShpInfo spid="_x0000_s3079"/>
    <customShpInfo spid="_x0000_s3080"/>
    <customShpInfo spid="_x0000_s3077"/>
    <customShpInfo spid="_x0000_s3087"/>
    <customShpInfo spid="_x0000_s3088"/>
    <customShpInfo spid="_x0000_s3089"/>
    <customShpInfo spid="_x0000_s3086"/>
    <customShpInfo spid="_x0000_s3081"/>
    <customShpInfo spid="_x0000_s2050"/>
    <customShpInfo spid="_x0000_s2051"/>
    <customShpInfo spid="_x0000_s2057"/>
    <customShpInfo spid="_x0000_s2053"/>
    <customShpInfo spid="_x0000_s2132"/>
    <customShpInfo spid="_x0000_s2107"/>
    <customShpInfo spid="_x0000_s2100"/>
    <customShpInfo spid="_x0000_s2101"/>
    <customShpInfo spid="_x0000_s2102"/>
    <customShpInfo spid="_x0000_s2103"/>
    <customShpInfo spid="_x0000_s2105"/>
    <customShpInfo spid="_x0000_s2106"/>
    <customShpInfo spid="_x0000_s2108"/>
    <customShpInfo spid="_x0000_s2109"/>
    <customShpInfo spid="_x0000_s2110"/>
    <customShpInfo spid="_x0000_s2111"/>
    <customShpInfo spid="_x0000_s2112"/>
    <customShpInfo spid="_x0000_s2113"/>
    <customShpInfo spid="_x0000_s2114"/>
    <customShpInfo spid="_x0000_s2115"/>
    <customShpInfo spid="_x0000_s2124"/>
    <customShpInfo spid="_x0000_s2125"/>
    <customShpInfo spid="_x0000_s2128"/>
    <customShpInfo spid="_x0000_s2129"/>
    <customShpInfo spid="_x0000_s2130"/>
    <customShpInfo spid="_x0000_s2133"/>
    <customShpInfo spid="_x0000_s2135"/>
    <customShpInfo spid="_x0000_s2139"/>
    <customShpInfo spid="_x0000_s2131"/>
    <customShpInfo spid="_x0000_s2096"/>
    <customShpInfo spid="_x0000_s2122"/>
    <customShpInfo spid="_x0000_s2118"/>
    <customShpInfo spid="_x0000_s2126"/>
    <customShpInfo spid="_x0000_s2134"/>
    <customShpInfo spid="_x0000_s2140"/>
    <customShpInfo spid="_x0000_s2123"/>
    <customShpInfo spid="_x0000_s2119"/>
    <customShpInfo spid="_x0000_s2137"/>
    <customShpInfo spid="_x0000_s2136"/>
    <customShpInfo spid="_x0000_s2104"/>
    <customShpInfo spid="_x0000_s2127"/>
    <customShpInfo spid="_x0000_s2138"/>
    <customShpInfo spid="_x0000_s2141"/>
    <customShpInfo spid="_x0000_s2054"/>
    <customShpInfo spid="_x0000_s2121"/>
    <customShpInfo spid="_x0000_s2117"/>
    <customShpInfo spid="_x0000_s2116"/>
    <customShpInfo spid="_x0000_s2120"/>
    <customShpInfo spid="_x0000_s2098"/>
    <customShpInfo spid="_x0000_s2099"/>
    <customShpInfo spid="_x0000_s2052"/>
    <customShpInfo spid="_x0000_s2056"/>
    <customShpInfo spid="_x0000_s2055"/>
    <customShpInfo spid="_x0000_s2058"/>
    <customShpInfo spid="_x0000_s2062"/>
    <customShpInfo spid="_x0000_s2064"/>
    <customShpInfo spid="_x0000_s2066"/>
    <customShpInfo spid="_x0000_s2069"/>
    <customShpInfo spid="_x0000_s2091"/>
    <customShpInfo spid="_x0000_s2092"/>
    <customShpInfo spid="_x0000_s2061"/>
    <customShpInfo spid="_x0000_s2073"/>
    <customShpInfo spid="_x0000_s2074"/>
    <customShpInfo spid="_x0000_s2065"/>
    <customShpInfo spid="_x0000_s2059"/>
    <customShpInfo spid="_x0000_s2077"/>
    <customShpInfo spid="_x0000_s2060"/>
    <customShpInfo spid="_x0000_s2079"/>
    <customShpInfo spid="_x0000_s2080"/>
    <customShpInfo spid="_x0000_s2063"/>
    <customShpInfo spid="_x0000_s2082"/>
    <customShpInfo spid="_x0000_s2142"/>
    <customShpInfo spid="_x0000_s2084"/>
    <customShpInfo spid="_x0000_s2085"/>
    <customShpInfo spid="_x0000_s2086"/>
    <customShpInfo spid="_x0000_s2067"/>
    <customShpInfo spid="_x0000_s2068"/>
    <customShpInfo spid="_x0000_s2070"/>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CE4644-C1FE-4CAD-9201-1036754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18043</Words>
  <Characters>102847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1099</cp:revision>
  <cp:lastPrinted>2019-06-11T08:12:00Z</cp:lastPrinted>
  <dcterms:created xsi:type="dcterms:W3CDTF">2018-01-16T00:50:00Z</dcterms:created>
  <dcterms:modified xsi:type="dcterms:W3CDTF">2019-06-11T08:14:00Z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