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E72FC" w14:textId="77777777" w:rsidR="00646279" w:rsidRDefault="00646279" w:rsidP="003346FC">
      <w:pPr>
        <w:spacing w:after="0" w:line="360" w:lineRule="auto"/>
      </w:pPr>
    </w:p>
    <w:p w14:paraId="0ABDFF4C" w14:textId="77777777" w:rsidR="00646279" w:rsidRDefault="00646279" w:rsidP="003346FC">
      <w:pPr>
        <w:spacing w:after="0" w:line="360" w:lineRule="auto"/>
      </w:pPr>
    </w:p>
    <w:p w14:paraId="35F7C09B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2FF139DB" wp14:editId="54454A25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4C469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580FE2A2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4764FAB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9DB45C2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6C102061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428A279C" w14:textId="77777777" w:rsidTr="00391CCF">
        <w:tc>
          <w:tcPr>
            <w:tcW w:w="2830" w:type="dxa"/>
          </w:tcPr>
          <w:p w14:paraId="41B721A6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2992B340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BF35ED6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15434308" w14:textId="77777777" w:rsidTr="00391CCF">
        <w:tc>
          <w:tcPr>
            <w:tcW w:w="2830" w:type="dxa"/>
          </w:tcPr>
          <w:p w14:paraId="491E6CDB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2F42D797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32558104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3342209E" w14:textId="77777777" w:rsidTr="00391CCF">
        <w:tc>
          <w:tcPr>
            <w:tcW w:w="2830" w:type="dxa"/>
          </w:tcPr>
          <w:p w14:paraId="506F55CF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5A3BC01D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145F12D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3FF7A960" w14:textId="77777777" w:rsidTr="00391CCF">
        <w:tc>
          <w:tcPr>
            <w:tcW w:w="2830" w:type="dxa"/>
          </w:tcPr>
          <w:p w14:paraId="0AEA1C00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5240F43B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20E6592C" w14:textId="77777777" w:rsidR="00E14099" w:rsidRPr="00BA1886" w:rsidRDefault="00F87787" w:rsidP="00557762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557762"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8"/>
                <w:szCs w:val="28"/>
              </w:rPr>
              <w:t>Reviu</w:t>
            </w:r>
            <w:proofErr w:type="spellEnd"/>
            <w:r w:rsidR="0055776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8"/>
                <w:szCs w:val="28"/>
              </w:rPr>
              <w:t>Laporan</w:t>
            </w:r>
            <w:proofErr w:type="spellEnd"/>
            <w:r w:rsidR="00557762">
              <w:rPr>
                <w:rFonts w:ascii="Arial" w:hAnsi="Arial" w:cs="Arial"/>
                <w:sz w:val="28"/>
                <w:szCs w:val="28"/>
              </w:rPr>
              <w:t xml:space="preserve"> Kinerja</w:t>
            </w:r>
          </w:p>
        </w:tc>
      </w:tr>
      <w:tr w:rsidR="009E7C6A" w:rsidRPr="00BA1886" w14:paraId="6991E5F1" w14:textId="77777777" w:rsidTr="00391CCF">
        <w:tc>
          <w:tcPr>
            <w:tcW w:w="2830" w:type="dxa"/>
          </w:tcPr>
          <w:p w14:paraId="1B29B127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297DE083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D1AD608" w14:textId="1B3D1835" w:rsidR="009E7C6A" w:rsidRPr="00BA1886" w:rsidRDefault="009E7C6A" w:rsidP="00557762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Rp.</w:t>
            </w:r>
            <w:r w:rsidR="00A97879">
              <w:rPr>
                <w:rFonts w:ascii="Arial" w:hAnsi="Arial" w:cs="Arial"/>
                <w:sz w:val="28"/>
                <w:szCs w:val="28"/>
              </w:rPr>
              <w:t>29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A97879">
              <w:rPr>
                <w:rFonts w:ascii="Arial" w:hAnsi="Arial" w:cs="Arial"/>
                <w:sz w:val="28"/>
                <w:szCs w:val="28"/>
              </w:rPr>
              <w:t>265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proofErr w:type="gramStart"/>
            <w:r w:rsidR="00557762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7E5F1093" w14:textId="77777777" w:rsidTr="00391CCF">
        <w:tc>
          <w:tcPr>
            <w:tcW w:w="2830" w:type="dxa"/>
          </w:tcPr>
          <w:p w14:paraId="1D2F441E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3954E626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90E22F0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6D33B10C" w14:textId="77777777" w:rsidTr="00391CCF">
        <w:tc>
          <w:tcPr>
            <w:tcW w:w="2830" w:type="dxa"/>
          </w:tcPr>
          <w:p w14:paraId="200BCAD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7F727D0A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6633D307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422D5100" w14:textId="77777777" w:rsidTr="00391CCF">
        <w:tc>
          <w:tcPr>
            <w:tcW w:w="2830" w:type="dxa"/>
          </w:tcPr>
          <w:p w14:paraId="731BFCB6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3BACCED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0546EDA" w14:textId="3B7CEABC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A97879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5FEDD50B" w14:textId="77777777" w:rsidTr="00391CCF">
        <w:tc>
          <w:tcPr>
            <w:tcW w:w="2830" w:type="dxa"/>
          </w:tcPr>
          <w:p w14:paraId="5F89427E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2FC8CDAA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4586D032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592463C" w14:textId="77777777" w:rsidTr="00391CCF">
        <w:tc>
          <w:tcPr>
            <w:tcW w:w="2830" w:type="dxa"/>
          </w:tcPr>
          <w:p w14:paraId="421300C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6E10CC5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57B4853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38954193" w14:textId="77777777" w:rsidTr="00391CCF">
        <w:tc>
          <w:tcPr>
            <w:tcW w:w="2830" w:type="dxa"/>
          </w:tcPr>
          <w:p w14:paraId="479D3A79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75D90327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15AEF26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10163CA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5E2FD9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15E6E26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EB48B3B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F4E580F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2B951A95" w14:textId="6C61CD8B" w:rsidR="00AD66B1" w:rsidRPr="00355075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Reviu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Laporan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Kinerja</w:t>
      </w:r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A97879">
        <w:rPr>
          <w:rFonts w:ascii="Arial" w:hAnsi="Arial" w:cs="Arial"/>
          <w:b/>
          <w:sz w:val="24"/>
          <w:szCs w:val="24"/>
        </w:rPr>
        <w:t>5</w:t>
      </w:r>
    </w:p>
    <w:p w14:paraId="12298599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51848E48" w14:textId="77777777" w:rsidTr="00F32B8E">
        <w:tc>
          <w:tcPr>
            <w:tcW w:w="2518" w:type="dxa"/>
          </w:tcPr>
          <w:p w14:paraId="5DF6EC49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64D3A514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670D412" w14:textId="77777777" w:rsidR="00355075" w:rsidRPr="00355075" w:rsidRDefault="00557762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Reviu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Kinerja atas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proses kegiatan yang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ditujukan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menjamin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berjalan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secara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efisien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efektif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sesuai dengan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57762">
              <w:rPr>
                <w:rFonts w:ascii="Arial" w:hAnsi="Arial" w:cs="Arial"/>
                <w:sz w:val="24"/>
                <w:szCs w:val="24"/>
              </w:rPr>
              <w:t>perundang-undangan</w:t>
            </w:r>
            <w:proofErr w:type="spellEnd"/>
            <w:r w:rsidRPr="005577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1EADA68F" w14:textId="77777777" w:rsidTr="00F32B8E">
        <w:tc>
          <w:tcPr>
            <w:tcW w:w="2518" w:type="dxa"/>
          </w:tcPr>
          <w:p w14:paraId="65532E87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432CF118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E2A0FD2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52CB4717" w14:textId="77777777" w:rsidTr="00F32B8E">
        <w:tc>
          <w:tcPr>
            <w:tcW w:w="2518" w:type="dxa"/>
          </w:tcPr>
          <w:p w14:paraId="06DB896E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2F33ED65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6270A83" w14:textId="77777777" w:rsidR="001E0D01" w:rsidRPr="00355075" w:rsidRDefault="001849DF" w:rsidP="0055776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1E0D01"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1E0D01"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reviu</w:t>
            </w:r>
            <w:proofErr w:type="spellEnd"/>
            <w:r w:rsid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</w:tr>
      <w:tr w:rsidR="001E0D01" w:rsidRPr="00355075" w14:paraId="0E5EA8DF" w14:textId="77777777" w:rsidTr="00F32B8E">
        <w:tc>
          <w:tcPr>
            <w:tcW w:w="2518" w:type="dxa"/>
          </w:tcPr>
          <w:p w14:paraId="5B730ECD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680BB951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24D15961" w14:textId="77777777" w:rsidR="001E0D01" w:rsidRPr="00355075" w:rsidRDefault="001E0D01" w:rsidP="001849D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9DF">
              <w:rPr>
                <w:rFonts w:ascii="Arial" w:hAnsi="Arial" w:cs="Arial"/>
                <w:sz w:val="24"/>
                <w:szCs w:val="24"/>
              </w:rPr>
              <w:t>internal</w:t>
            </w:r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22ADDB1F" w14:textId="77777777" w:rsidTr="00F32B8E">
        <w:tc>
          <w:tcPr>
            <w:tcW w:w="2518" w:type="dxa"/>
          </w:tcPr>
          <w:p w14:paraId="60812330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552FE0C5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28CEDAD5" w14:textId="1E69FBF6" w:rsidR="001E0D01" w:rsidRPr="00355075" w:rsidRDefault="001E0D01" w:rsidP="0055776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A97879">
              <w:rPr>
                <w:rFonts w:ascii="Arial" w:hAnsi="Arial" w:cs="Arial"/>
                <w:sz w:val="24"/>
                <w:szCs w:val="24"/>
              </w:rPr>
              <w:t>29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A97879">
              <w:rPr>
                <w:rFonts w:ascii="Arial" w:hAnsi="Arial" w:cs="Arial"/>
                <w:sz w:val="24"/>
                <w:szCs w:val="24"/>
              </w:rPr>
              <w:t>265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557762">
              <w:rPr>
                <w:rFonts w:ascii="Arial" w:hAnsi="Arial" w:cs="Arial"/>
                <w:sz w:val="24"/>
                <w:szCs w:val="24"/>
              </w:rPr>
              <w:t>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7C374709" w14:textId="77777777" w:rsidTr="00F32B8E">
        <w:tc>
          <w:tcPr>
            <w:tcW w:w="2518" w:type="dxa"/>
          </w:tcPr>
          <w:p w14:paraId="02BC0184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0192E2D9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7B1553A8" w14:textId="3BBD5705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A978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6FAD30C2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6234727E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11193AE5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Berdasarkan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adalah </w:t>
      </w:r>
      <w:proofErr w:type="spellStart"/>
      <w:r w:rsidRPr="00146158">
        <w:rPr>
          <w:rFonts w:ascii="Arial" w:hAnsi="Arial" w:cs="Arial"/>
          <w:sz w:val="24"/>
          <w:szCs w:val="24"/>
        </w:rPr>
        <w:t>usaha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tindakan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kegiatan yang </w:t>
      </w:r>
      <w:proofErr w:type="spellStart"/>
      <w:r w:rsidRPr="00146158">
        <w:rPr>
          <w:rFonts w:ascii="Arial" w:hAnsi="Arial" w:cs="Arial"/>
          <w:sz w:val="24"/>
          <w:szCs w:val="24"/>
        </w:rPr>
        <w:t>ditujukan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mewujudkan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tercapainya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dalam </w:t>
      </w:r>
      <w:proofErr w:type="spellStart"/>
      <w:r w:rsidRPr="00146158">
        <w:rPr>
          <w:rFonts w:ascii="Arial" w:hAnsi="Arial" w:cs="Arial"/>
          <w:sz w:val="24"/>
          <w:szCs w:val="24"/>
        </w:rPr>
        <w:t>kerangka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146158">
        <w:rPr>
          <w:rFonts w:ascii="Arial" w:hAnsi="Arial" w:cs="Arial"/>
          <w:sz w:val="24"/>
          <w:szCs w:val="24"/>
        </w:rPr>
        <w:t>Kesatuan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Republik Indonesia.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Bupati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Walikota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/Kota.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dibantu oleh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dimaksud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(1) dan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audit, </w:t>
      </w:r>
      <w:proofErr w:type="spellStart"/>
      <w:r w:rsidRPr="00146158">
        <w:rPr>
          <w:rFonts w:ascii="Arial" w:hAnsi="Arial" w:cs="Arial"/>
          <w:sz w:val="24"/>
          <w:szCs w:val="24"/>
        </w:rPr>
        <w:t>reviu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monitoring,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pemantauan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bimbingan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teknis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lainnya</w:t>
      </w:r>
      <w:proofErr w:type="spellEnd"/>
      <w:r w:rsidRPr="00146158">
        <w:rPr>
          <w:rFonts w:ascii="Arial" w:hAnsi="Arial" w:cs="Arial"/>
          <w:sz w:val="24"/>
          <w:szCs w:val="24"/>
        </w:rPr>
        <w:t>.</w:t>
      </w:r>
    </w:p>
    <w:p w14:paraId="0FF524FB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4A987717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61D9940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488D1BAB" w14:textId="77777777" w:rsidR="000830E0" w:rsidRPr="00136C46" w:rsidRDefault="005D58CF" w:rsidP="00A97879">
      <w:pPr>
        <w:pStyle w:val="ListParagraph"/>
        <w:numPr>
          <w:ilvl w:val="0"/>
          <w:numId w:val="2"/>
        </w:numPr>
        <w:spacing w:after="0" w:line="360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686B4CC8" w14:textId="77777777" w:rsidR="00146158" w:rsidRPr="00146158" w:rsidRDefault="00146158" w:rsidP="0065121E">
      <w:pPr>
        <w:pStyle w:val="ListParagraph"/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65121E" w:rsidRPr="006512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</w:t>
      </w:r>
      <w:r w:rsidR="0065121E">
        <w:rPr>
          <w:rFonts w:ascii="Arial" w:hAnsi="Arial" w:cs="Arial"/>
          <w:sz w:val="24"/>
          <w:szCs w:val="24"/>
        </w:rPr>
        <w:t>2</w:t>
      </w:r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20</w:t>
      </w:r>
      <w:r w:rsidR="0065121E">
        <w:rPr>
          <w:rFonts w:ascii="Arial" w:hAnsi="Arial" w:cs="Arial"/>
          <w:sz w:val="24"/>
          <w:szCs w:val="24"/>
        </w:rPr>
        <w:t>21</w:t>
      </w:r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>
        <w:rPr>
          <w:rFonts w:ascii="Arial" w:hAnsi="Arial" w:cs="Arial"/>
          <w:sz w:val="24"/>
          <w:szCs w:val="24"/>
        </w:rPr>
        <w:t>kedua</w:t>
      </w:r>
      <w:proofErr w:type="spellEnd"/>
      <w:r w:rsidR="0065121E">
        <w:rPr>
          <w:rFonts w:ascii="Arial" w:hAnsi="Arial" w:cs="Arial"/>
          <w:sz w:val="24"/>
          <w:szCs w:val="24"/>
        </w:rPr>
        <w:t xml:space="preserve"> </w:t>
      </w:r>
      <w:r w:rsidR="0065121E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121E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65121E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="0065121E" w:rsidRPr="00146158">
        <w:rPr>
          <w:rFonts w:ascii="Arial" w:hAnsi="Arial" w:cs="Arial"/>
          <w:sz w:val="24"/>
          <w:szCs w:val="24"/>
        </w:rPr>
        <w:t>.</w:t>
      </w:r>
    </w:p>
    <w:p w14:paraId="776D7071" w14:textId="77777777" w:rsidR="00146158" w:rsidRPr="00146158" w:rsidRDefault="00146158" w:rsidP="0065121E">
      <w:pPr>
        <w:pStyle w:val="ListParagraph"/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6512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3C7F8C72" w14:textId="77777777" w:rsidR="00146158" w:rsidRDefault="00146158" w:rsidP="0065121E">
      <w:pPr>
        <w:pStyle w:val="ListParagraph"/>
        <w:tabs>
          <w:tab w:val="left" w:pos="810"/>
        </w:tabs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6512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5F0AEB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5F0AEB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0EE754BD" w14:textId="77777777" w:rsidR="00A97879" w:rsidRDefault="00A97879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043BD2C0" w14:textId="69C03CBF" w:rsidR="00AC6D60" w:rsidRPr="00B33C5B" w:rsidRDefault="00EA11EA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0610C15B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4BD67CFA" w14:textId="5BAA98F8" w:rsidR="000830E0" w:rsidRDefault="00146158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Terlaksananya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perbaikan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pengelolaan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kepegawaian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aset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keuangan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OPD Provinsi dan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>/ Kota</w:t>
      </w:r>
      <w:r w:rsidR="00107779">
        <w:rPr>
          <w:rFonts w:ascii="Arial" w:hAnsi="Arial" w:cs="Arial"/>
          <w:sz w:val="24"/>
          <w:szCs w:val="24"/>
        </w:rPr>
        <w:t>.</w:t>
      </w:r>
    </w:p>
    <w:p w14:paraId="4049BFB5" w14:textId="77777777" w:rsidR="00A97879" w:rsidRPr="00A12B41" w:rsidRDefault="00A97879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E855025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5B6086AA" w14:textId="77777777" w:rsidR="00557762" w:rsidRDefault="00557762" w:rsidP="0055776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7762">
        <w:rPr>
          <w:rFonts w:ascii="Arial" w:hAnsi="Arial" w:cs="Arial"/>
          <w:sz w:val="24"/>
          <w:szCs w:val="24"/>
        </w:rPr>
        <w:t xml:space="preserve">Kegiatan rapat-rapat dalam </w:t>
      </w:r>
      <w:proofErr w:type="spellStart"/>
      <w:r w:rsidRPr="00557762">
        <w:rPr>
          <w:rFonts w:ascii="Arial" w:hAnsi="Arial" w:cs="Arial"/>
          <w:sz w:val="24"/>
          <w:szCs w:val="24"/>
        </w:rPr>
        <w:t>rangka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7762">
        <w:rPr>
          <w:rFonts w:ascii="Arial" w:hAnsi="Arial" w:cs="Arial"/>
          <w:sz w:val="24"/>
          <w:szCs w:val="24"/>
        </w:rPr>
        <w:t>Reviu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7762">
        <w:rPr>
          <w:rFonts w:ascii="Arial" w:hAnsi="Arial" w:cs="Arial"/>
          <w:sz w:val="24"/>
          <w:szCs w:val="24"/>
        </w:rPr>
        <w:t>Laporan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Kinerja </w:t>
      </w:r>
    </w:p>
    <w:p w14:paraId="211AFEE7" w14:textId="77777777" w:rsidR="00146158" w:rsidRDefault="00557762" w:rsidP="0055776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Kinerja</w:t>
      </w:r>
    </w:p>
    <w:p w14:paraId="5269BD55" w14:textId="77777777" w:rsidR="00A97879" w:rsidRDefault="00A97879" w:rsidP="00A97879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23B1A0E9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7076DEF0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06B01712" w14:textId="77777777" w:rsidR="00A97879" w:rsidRDefault="00A97879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B53844B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6E06E252" w14:textId="77777777" w:rsidR="00BC42F3" w:rsidRPr="00B33C5B" w:rsidRDefault="001E6BB4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</w:t>
      </w:r>
      <w:r w:rsidR="00BC42F3">
        <w:rPr>
          <w:rFonts w:ascii="Arial" w:hAnsi="Arial" w:cs="Arial"/>
          <w:b/>
          <w:sz w:val="24"/>
          <w:szCs w:val="24"/>
        </w:rPr>
        <w:t>engembangan</w:t>
      </w:r>
      <w:proofErr w:type="spellEnd"/>
      <w:r w:rsidR="00BC42F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C42F3">
        <w:rPr>
          <w:rFonts w:ascii="Arial" w:hAnsi="Arial" w:cs="Arial"/>
          <w:b/>
          <w:sz w:val="24"/>
          <w:szCs w:val="24"/>
        </w:rPr>
        <w:t>Temuan</w:t>
      </w:r>
      <w:proofErr w:type="spellEnd"/>
      <w:r w:rsidR="00BC42F3"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 w:rsidR="00BC42F3"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19256305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A547AC7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5F6F478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E0D60B6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243D3AD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F1C581B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2237258" w14:textId="77777777" w:rsidR="00A97879" w:rsidRDefault="00A97879" w:rsidP="00A97879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D6CEFDB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6C681C4A" w14:textId="77777777" w:rsidTr="00C01FF9">
        <w:tc>
          <w:tcPr>
            <w:tcW w:w="524" w:type="dxa"/>
            <w:vMerge w:val="restart"/>
          </w:tcPr>
          <w:p w14:paraId="473A7BB3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29A8656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3C4634E5" w14:textId="54F060A9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A978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5572586A" w14:textId="77777777" w:rsidTr="00C01FF9">
        <w:tc>
          <w:tcPr>
            <w:tcW w:w="524" w:type="dxa"/>
            <w:vMerge/>
          </w:tcPr>
          <w:p w14:paraId="711240AF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644878E0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4B521A9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27D2FE4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6472BBF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20A102F1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5BFA8ABA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5A8DDB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2A4F38C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3C4329E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77AC42E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2690C2DC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1A904B7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2CABCA08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4A8EFB76" w14:textId="77777777" w:rsidTr="00C01FF9">
        <w:tc>
          <w:tcPr>
            <w:tcW w:w="524" w:type="dxa"/>
          </w:tcPr>
          <w:p w14:paraId="1EB6CD9A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65FA406B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4C8640E8" w14:textId="77777777" w:rsidR="00C01FF9" w:rsidRDefault="00C01FF9" w:rsidP="004B3FDB">
            <w:pPr>
              <w:jc w:val="center"/>
            </w:pPr>
          </w:p>
        </w:tc>
        <w:tc>
          <w:tcPr>
            <w:tcW w:w="640" w:type="dxa"/>
          </w:tcPr>
          <w:p w14:paraId="5574DDAB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7F68DDB5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750E5ADE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42C0E910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20" w:type="dxa"/>
          </w:tcPr>
          <w:p w14:paraId="7DB9F2BC" w14:textId="77777777" w:rsidR="00C01FF9" w:rsidRDefault="00C01FF9" w:rsidP="004B3FDB">
            <w:pPr>
              <w:jc w:val="center"/>
            </w:pPr>
          </w:p>
        </w:tc>
        <w:tc>
          <w:tcPr>
            <w:tcW w:w="557" w:type="dxa"/>
          </w:tcPr>
          <w:p w14:paraId="61A21406" w14:textId="77777777" w:rsidR="00C01FF9" w:rsidRDefault="00C01FF9" w:rsidP="004B3FDB">
            <w:pPr>
              <w:jc w:val="center"/>
            </w:pPr>
          </w:p>
        </w:tc>
        <w:tc>
          <w:tcPr>
            <w:tcW w:w="561" w:type="dxa"/>
          </w:tcPr>
          <w:p w14:paraId="21E72297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3B26D0B9" w14:textId="77777777" w:rsidR="00C01FF9" w:rsidRDefault="00C01FF9" w:rsidP="004B3FDB">
            <w:pPr>
              <w:jc w:val="center"/>
            </w:pPr>
          </w:p>
        </w:tc>
        <w:tc>
          <w:tcPr>
            <w:tcW w:w="528" w:type="dxa"/>
          </w:tcPr>
          <w:p w14:paraId="5B222930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48930A6D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4C03D854" w14:textId="77777777" w:rsidR="00C01FF9" w:rsidRDefault="00C01FF9" w:rsidP="004B3FDB">
            <w:pPr>
              <w:jc w:val="center"/>
            </w:pPr>
          </w:p>
        </w:tc>
      </w:tr>
    </w:tbl>
    <w:p w14:paraId="6993F019" w14:textId="77777777" w:rsidR="00A97879" w:rsidRDefault="00A97879" w:rsidP="00A97879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A51BBC0" w14:textId="24B908D1" w:rsidR="00AC2F66" w:rsidRDefault="001378BE" w:rsidP="00A97879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5C9CA571" w14:textId="685BF2BA" w:rsidR="00C652F0" w:rsidRPr="00045582" w:rsidRDefault="001849DF" w:rsidP="00A97879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>lah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Kerja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1E6BB4">
        <w:rPr>
          <w:rFonts w:ascii="Arial" w:hAnsi="Arial" w:cs="Arial"/>
          <w:sz w:val="24"/>
          <w:szCs w:val="24"/>
        </w:rPr>
        <w:t>Reviu</w:t>
      </w:r>
      <w:proofErr w:type="spellEnd"/>
      <w:r w:rsidR="001E6B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6BB4">
        <w:rPr>
          <w:rFonts w:ascii="Arial" w:hAnsi="Arial" w:cs="Arial"/>
          <w:sz w:val="24"/>
          <w:szCs w:val="24"/>
        </w:rPr>
        <w:t>Laporan</w:t>
      </w:r>
      <w:proofErr w:type="spellEnd"/>
      <w:r w:rsidR="001E6BB4">
        <w:rPr>
          <w:rFonts w:ascii="Arial" w:hAnsi="Arial" w:cs="Arial"/>
          <w:sz w:val="24"/>
          <w:szCs w:val="24"/>
        </w:rPr>
        <w:t xml:space="preserve"> Kinerja</w:t>
      </w:r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Tahun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202</w:t>
      </w:r>
      <w:r w:rsidR="00A97879">
        <w:rPr>
          <w:rFonts w:ascii="Arial" w:hAnsi="Arial" w:cs="Arial"/>
          <w:sz w:val="24"/>
          <w:szCs w:val="24"/>
        </w:rPr>
        <w:t>5</w:t>
      </w:r>
      <w:r w:rsidR="00045582" w:rsidRPr="00045582">
        <w:rPr>
          <w:rFonts w:ascii="Arial" w:hAnsi="Arial" w:cs="Arial"/>
          <w:sz w:val="24"/>
          <w:szCs w:val="24"/>
        </w:rPr>
        <w:t xml:space="preserve"> dan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0083C116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9932515" w14:textId="696BA8F0" w:rsidR="0024446A" w:rsidRPr="003E7566" w:rsidRDefault="0024446A" w:rsidP="0024446A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A97879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24446A" w:rsidRPr="003E7566" w14:paraId="02326F56" w14:textId="77777777" w:rsidTr="00F30417">
        <w:tc>
          <w:tcPr>
            <w:tcW w:w="3057" w:type="dxa"/>
          </w:tcPr>
          <w:p w14:paraId="7D028A64" w14:textId="77777777" w:rsidR="0024446A" w:rsidRPr="003E7566" w:rsidRDefault="0024446A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65841BFB" w14:textId="77777777" w:rsidR="0024446A" w:rsidRPr="003E7566" w:rsidRDefault="0024446A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18325D8E" w14:textId="77777777" w:rsidR="0024446A" w:rsidRPr="003E7566" w:rsidRDefault="0024446A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5F3BBD3E" w14:textId="77777777" w:rsidR="0024446A" w:rsidRPr="003E7566" w:rsidRDefault="0024446A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11D7D742" w14:textId="77777777" w:rsidR="0024446A" w:rsidRDefault="0024446A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69A963" w14:textId="77777777" w:rsidR="0024446A" w:rsidRDefault="0024446A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0940D77" w14:textId="77777777" w:rsidR="0024446A" w:rsidRPr="003E7566" w:rsidRDefault="0024446A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AD5412F" w14:textId="77777777" w:rsidR="0024446A" w:rsidRPr="003E7566" w:rsidRDefault="0024446A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2E4AAF0E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63E5DFC0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3098F9E3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04C5BAB9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4FF23E46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77B75985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B4BE01E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E1ACD3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AFF0E6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B95DA7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2A6855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264E2" w14:textId="77777777" w:rsidR="008E4E41" w:rsidRDefault="008E4E41" w:rsidP="00FE2D15">
      <w:pPr>
        <w:spacing w:after="0" w:line="240" w:lineRule="auto"/>
      </w:pPr>
      <w:r>
        <w:separator/>
      </w:r>
    </w:p>
  </w:endnote>
  <w:endnote w:type="continuationSeparator" w:id="0">
    <w:p w14:paraId="38BBD768" w14:textId="77777777" w:rsidR="008E4E41" w:rsidRDefault="008E4E41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93716F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6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7372FC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9F934" w14:textId="77777777" w:rsidR="008E4E41" w:rsidRDefault="008E4E41" w:rsidP="00FE2D15">
      <w:pPr>
        <w:spacing w:after="0" w:line="240" w:lineRule="auto"/>
      </w:pPr>
      <w:r>
        <w:separator/>
      </w:r>
    </w:p>
  </w:footnote>
  <w:footnote w:type="continuationSeparator" w:id="0">
    <w:p w14:paraId="272B5BBE" w14:textId="77777777" w:rsidR="008E4E41" w:rsidRDefault="008E4E41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0303334">
    <w:abstractNumId w:val="4"/>
  </w:num>
  <w:num w:numId="2" w16cid:durableId="1925063867">
    <w:abstractNumId w:val="7"/>
  </w:num>
  <w:num w:numId="3" w16cid:durableId="1568611967">
    <w:abstractNumId w:val="5"/>
  </w:num>
  <w:num w:numId="4" w16cid:durableId="1753431401">
    <w:abstractNumId w:val="6"/>
  </w:num>
  <w:num w:numId="5" w16cid:durableId="192111142">
    <w:abstractNumId w:val="3"/>
  </w:num>
  <w:num w:numId="6" w16cid:durableId="295570990">
    <w:abstractNumId w:val="8"/>
  </w:num>
  <w:num w:numId="7" w16cid:durableId="1130589695">
    <w:abstractNumId w:val="1"/>
  </w:num>
  <w:num w:numId="8" w16cid:durableId="793404866">
    <w:abstractNumId w:val="0"/>
  </w:num>
  <w:num w:numId="9" w16cid:durableId="438067118">
    <w:abstractNumId w:val="2"/>
  </w:num>
  <w:num w:numId="10" w16cid:durableId="1709407488">
    <w:abstractNumId w:val="10"/>
  </w:num>
  <w:num w:numId="11" w16cid:durableId="5473731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849DF"/>
    <w:rsid w:val="00191311"/>
    <w:rsid w:val="001A49EB"/>
    <w:rsid w:val="001B635C"/>
    <w:rsid w:val="001C179C"/>
    <w:rsid w:val="001C1A0A"/>
    <w:rsid w:val="001E0D01"/>
    <w:rsid w:val="001E21D9"/>
    <w:rsid w:val="001E6BB4"/>
    <w:rsid w:val="002068ED"/>
    <w:rsid w:val="00222010"/>
    <w:rsid w:val="0022357C"/>
    <w:rsid w:val="0022671B"/>
    <w:rsid w:val="00241CF8"/>
    <w:rsid w:val="0024446A"/>
    <w:rsid w:val="00245BE4"/>
    <w:rsid w:val="00252591"/>
    <w:rsid w:val="00266F4D"/>
    <w:rsid w:val="0026793B"/>
    <w:rsid w:val="00295134"/>
    <w:rsid w:val="002A4EC5"/>
    <w:rsid w:val="002F533E"/>
    <w:rsid w:val="0030095B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061"/>
    <w:rsid w:val="005232F5"/>
    <w:rsid w:val="0053475A"/>
    <w:rsid w:val="005414BB"/>
    <w:rsid w:val="00554A05"/>
    <w:rsid w:val="00556374"/>
    <w:rsid w:val="00557762"/>
    <w:rsid w:val="00562FBE"/>
    <w:rsid w:val="005651B8"/>
    <w:rsid w:val="00567974"/>
    <w:rsid w:val="00574BD2"/>
    <w:rsid w:val="005775A3"/>
    <w:rsid w:val="00582E2D"/>
    <w:rsid w:val="00584357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5F0AEB"/>
    <w:rsid w:val="006255DE"/>
    <w:rsid w:val="00635196"/>
    <w:rsid w:val="00635C88"/>
    <w:rsid w:val="006405F9"/>
    <w:rsid w:val="00646279"/>
    <w:rsid w:val="006500C9"/>
    <w:rsid w:val="0065121E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21529"/>
    <w:rsid w:val="00837F55"/>
    <w:rsid w:val="00844F17"/>
    <w:rsid w:val="008533D3"/>
    <w:rsid w:val="00857EA1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E4E41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97879"/>
    <w:rsid w:val="00AA5EEA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23D5"/>
    <w:rsid w:val="00BF59A8"/>
    <w:rsid w:val="00C002B9"/>
    <w:rsid w:val="00C01FF9"/>
    <w:rsid w:val="00C11140"/>
    <w:rsid w:val="00C24284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3767E"/>
    <w:rsid w:val="00D43236"/>
    <w:rsid w:val="00D44CBF"/>
    <w:rsid w:val="00D44DEA"/>
    <w:rsid w:val="00D45BFE"/>
    <w:rsid w:val="00D57D50"/>
    <w:rsid w:val="00D8456A"/>
    <w:rsid w:val="00D917AD"/>
    <w:rsid w:val="00DA145C"/>
    <w:rsid w:val="00DB098C"/>
    <w:rsid w:val="00DD4011"/>
    <w:rsid w:val="00DE594B"/>
    <w:rsid w:val="00E14099"/>
    <w:rsid w:val="00E341F1"/>
    <w:rsid w:val="00E42E6F"/>
    <w:rsid w:val="00E45C78"/>
    <w:rsid w:val="00E51DEB"/>
    <w:rsid w:val="00E570C5"/>
    <w:rsid w:val="00E61BAC"/>
    <w:rsid w:val="00E675C9"/>
    <w:rsid w:val="00E72CFD"/>
    <w:rsid w:val="00E76341"/>
    <w:rsid w:val="00E77F62"/>
    <w:rsid w:val="00E81F99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2827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2AC3"/>
  <w15:docId w15:val="{D037A2F3-8359-4794-80A0-915D07A9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58769-91CD-4328-B37D-41B78B42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2024-02-15T09:39:00Z</cp:lastPrinted>
  <dcterms:created xsi:type="dcterms:W3CDTF">2025-03-03T08:16:00Z</dcterms:created>
  <dcterms:modified xsi:type="dcterms:W3CDTF">2025-03-03T08:16:00Z</dcterms:modified>
</cp:coreProperties>
</file>