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A96A4" w14:textId="77777777" w:rsidR="00646279" w:rsidRDefault="00646279" w:rsidP="003346FC">
      <w:pPr>
        <w:spacing w:after="0" w:line="360" w:lineRule="auto"/>
      </w:pPr>
    </w:p>
    <w:p w14:paraId="3EC20172" w14:textId="77777777" w:rsidR="00646279" w:rsidRDefault="00646279" w:rsidP="003346FC">
      <w:pPr>
        <w:spacing w:after="0" w:line="360" w:lineRule="auto"/>
      </w:pPr>
    </w:p>
    <w:p w14:paraId="33BE5399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5D49704F" wp14:editId="65667F08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9DE9D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54FDF231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D4134BE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99128ED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10DBE604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19FF6F02" w14:textId="77777777" w:rsidTr="00391CCF">
        <w:tc>
          <w:tcPr>
            <w:tcW w:w="2830" w:type="dxa"/>
          </w:tcPr>
          <w:p w14:paraId="5F13D9BA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Perangkat Daerah</w:t>
            </w:r>
          </w:p>
        </w:tc>
        <w:tc>
          <w:tcPr>
            <w:tcW w:w="425" w:type="dxa"/>
          </w:tcPr>
          <w:p w14:paraId="1794B034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E38897E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Inspektorat Daerah Provinsi Sumatera Barat</w:t>
            </w:r>
          </w:p>
        </w:tc>
      </w:tr>
      <w:tr w:rsidR="00E14099" w:rsidRPr="00BA1886" w14:paraId="2B2B85E7" w14:textId="77777777" w:rsidTr="00391CCF">
        <w:tc>
          <w:tcPr>
            <w:tcW w:w="2830" w:type="dxa"/>
          </w:tcPr>
          <w:p w14:paraId="77525718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2CE43CD7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AFEC72A" w14:textId="77777777" w:rsidR="00E14099" w:rsidRDefault="00F87787" w:rsidP="006F0CA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>Program Pen</w:t>
            </w:r>
            <w:r w:rsidR="006F0CAB">
              <w:rPr>
                <w:rFonts w:ascii="Arial" w:hAnsi="Arial" w:cs="Arial"/>
                <w:sz w:val="28"/>
                <w:szCs w:val="28"/>
              </w:rPr>
              <w:t>unjang Urusan Pemerintahan Daerah Provinsi</w:t>
            </w:r>
          </w:p>
        </w:tc>
      </w:tr>
      <w:tr w:rsidR="00E14099" w:rsidRPr="00BA1886" w14:paraId="4959B27C" w14:textId="77777777" w:rsidTr="00391CCF">
        <w:tc>
          <w:tcPr>
            <w:tcW w:w="2830" w:type="dxa"/>
          </w:tcPr>
          <w:p w14:paraId="3FBCBB1F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466363B0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DF41F17" w14:textId="77777777" w:rsidR="00E14099" w:rsidRPr="00BA1886" w:rsidRDefault="00F87787" w:rsidP="006F0CA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14099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6F0CAB">
              <w:rPr>
                <w:rFonts w:ascii="Arial" w:hAnsi="Arial" w:cs="Arial"/>
                <w:sz w:val="28"/>
                <w:szCs w:val="28"/>
              </w:rPr>
              <w:t>rencanaan, Penganggaran dan Evaluasi Kinerja Perangkat Daerah</w:t>
            </w:r>
          </w:p>
        </w:tc>
      </w:tr>
      <w:tr w:rsidR="00E14099" w:rsidRPr="00BA1886" w14:paraId="72D433B8" w14:textId="77777777" w:rsidTr="00391CCF">
        <w:tc>
          <w:tcPr>
            <w:tcW w:w="2830" w:type="dxa"/>
          </w:tcPr>
          <w:p w14:paraId="11212614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3FBE7760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8F67ADD" w14:textId="77777777" w:rsidR="00E14099" w:rsidRPr="00BA1886" w:rsidRDefault="00F87787" w:rsidP="00EE199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A23E42">
              <w:rPr>
                <w:rFonts w:ascii="Arial" w:hAnsi="Arial" w:cs="Arial"/>
                <w:sz w:val="28"/>
                <w:szCs w:val="28"/>
              </w:rPr>
              <w:t>00</w:t>
            </w:r>
            <w:r w:rsidR="00EE199C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E199C">
              <w:rPr>
                <w:rFonts w:ascii="Arial" w:hAnsi="Arial" w:cs="Arial"/>
                <w:sz w:val="28"/>
                <w:szCs w:val="28"/>
              </w:rPr>
              <w:t>Koordinasi dan Penyusunan Laporan Capaian Kinerja dan Ikhtisar Realisasi Kinerja SKPD</w:t>
            </w:r>
          </w:p>
        </w:tc>
      </w:tr>
      <w:tr w:rsidR="009E7C6A" w:rsidRPr="00BA1886" w14:paraId="4DE29162" w14:textId="77777777" w:rsidTr="00391CCF">
        <w:tc>
          <w:tcPr>
            <w:tcW w:w="2830" w:type="dxa"/>
          </w:tcPr>
          <w:p w14:paraId="51D105F7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Pagu </w:t>
            </w:r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</w:p>
        </w:tc>
        <w:tc>
          <w:tcPr>
            <w:tcW w:w="425" w:type="dxa"/>
          </w:tcPr>
          <w:p w14:paraId="5ADEB2C4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C7CE178" w14:textId="07ABF31B" w:rsidR="009E7C6A" w:rsidRPr="00BA1886" w:rsidRDefault="009E7C6A" w:rsidP="00EE199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r w:rsidR="002C4E68">
              <w:rPr>
                <w:rFonts w:ascii="Arial" w:hAnsi="Arial" w:cs="Arial"/>
                <w:sz w:val="28"/>
                <w:szCs w:val="28"/>
              </w:rPr>
              <w:t>8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2C4E68">
              <w:rPr>
                <w:rFonts w:ascii="Arial" w:hAnsi="Arial" w:cs="Arial"/>
                <w:sz w:val="28"/>
                <w:szCs w:val="28"/>
              </w:rPr>
              <w:t>235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2C4E68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</w:p>
        </w:tc>
      </w:tr>
      <w:tr w:rsidR="003C11F5" w:rsidRPr="00BA1886" w14:paraId="6FCCBD26" w14:textId="77777777" w:rsidTr="00391CCF">
        <w:tc>
          <w:tcPr>
            <w:tcW w:w="2830" w:type="dxa"/>
          </w:tcPr>
          <w:p w14:paraId="07F03FCF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26CCAE8F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5516CEF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1998F311" w14:textId="77777777" w:rsidTr="00391CCF">
        <w:tc>
          <w:tcPr>
            <w:tcW w:w="2830" w:type="dxa"/>
          </w:tcPr>
          <w:p w14:paraId="1C816114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Pelaksanaan </w:t>
            </w:r>
          </w:p>
        </w:tc>
        <w:tc>
          <w:tcPr>
            <w:tcW w:w="425" w:type="dxa"/>
          </w:tcPr>
          <w:p w14:paraId="2A7602ED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C5AFC97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Desember </w:t>
            </w:r>
          </w:p>
        </w:tc>
      </w:tr>
      <w:tr w:rsidR="003C11F5" w:rsidRPr="00BA1886" w14:paraId="2E97F958" w14:textId="77777777" w:rsidTr="00391CCF">
        <w:tc>
          <w:tcPr>
            <w:tcW w:w="2830" w:type="dxa"/>
          </w:tcPr>
          <w:p w14:paraId="1BB18E39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Tahun Anggaran</w:t>
            </w:r>
          </w:p>
        </w:tc>
        <w:tc>
          <w:tcPr>
            <w:tcW w:w="425" w:type="dxa"/>
          </w:tcPr>
          <w:p w14:paraId="05A9D948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00157F3" w14:textId="306901C8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2C4E68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17BCFB57" w14:textId="77777777" w:rsidTr="00391CCF">
        <w:tc>
          <w:tcPr>
            <w:tcW w:w="2830" w:type="dxa"/>
          </w:tcPr>
          <w:p w14:paraId="1745664F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5C72A729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583AE2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25BAF84B" w14:textId="77777777" w:rsidTr="00391CCF">
        <w:tc>
          <w:tcPr>
            <w:tcW w:w="2830" w:type="dxa"/>
          </w:tcPr>
          <w:p w14:paraId="4803050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6E4E83C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06AE27F5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623F9388" w14:textId="77777777" w:rsidR="00B93F53" w:rsidRDefault="00B93F53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3C0BA4B8" w14:textId="77777777" w:rsidR="00B93F53" w:rsidRPr="00BA1886" w:rsidRDefault="00B93F53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1A480D3E" w14:textId="77777777" w:rsidTr="00391CCF">
        <w:tc>
          <w:tcPr>
            <w:tcW w:w="2830" w:type="dxa"/>
          </w:tcPr>
          <w:p w14:paraId="10D419BC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33EBF586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E36E04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930D592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55075">
        <w:rPr>
          <w:rFonts w:ascii="Arial" w:hAnsi="Arial" w:cs="Arial"/>
          <w:b/>
          <w:sz w:val="24"/>
          <w:szCs w:val="24"/>
        </w:rPr>
        <w:lastRenderedPageBreak/>
        <w:t xml:space="preserve">Kerangka Acuan Kerja (KAK) </w:t>
      </w:r>
    </w:p>
    <w:p w14:paraId="417E17E8" w14:textId="19B8C774" w:rsidR="00AD66B1" w:rsidRPr="00355075" w:rsidRDefault="00EE199C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Koordinasi </w:t>
      </w:r>
      <w:r w:rsidR="00A23E42">
        <w:rPr>
          <w:rFonts w:ascii="Arial" w:hAnsi="Arial" w:cs="Arial"/>
          <w:b/>
          <w:sz w:val="24"/>
          <w:szCs w:val="24"/>
        </w:rPr>
        <w:t xml:space="preserve">dan </w:t>
      </w:r>
      <w:r>
        <w:rPr>
          <w:rFonts w:ascii="Arial" w:hAnsi="Arial" w:cs="Arial"/>
          <w:b/>
          <w:sz w:val="24"/>
          <w:szCs w:val="24"/>
        </w:rPr>
        <w:t>Penyusunan</w:t>
      </w:r>
      <w:r w:rsidR="00A23E42">
        <w:rPr>
          <w:rFonts w:ascii="Arial" w:hAnsi="Arial" w:cs="Arial"/>
          <w:b/>
          <w:sz w:val="24"/>
          <w:szCs w:val="24"/>
        </w:rPr>
        <w:t xml:space="preserve"> Laporan Capaian Kinerja dan Ikhtisar Realisasi Kinerja SKPD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r w:rsidR="00C84571">
        <w:rPr>
          <w:rFonts w:ascii="Arial" w:hAnsi="Arial" w:cs="Arial"/>
          <w:b/>
          <w:sz w:val="24"/>
          <w:szCs w:val="24"/>
        </w:rPr>
        <w:t>Tahun 202</w:t>
      </w:r>
      <w:r w:rsidR="002C4E68">
        <w:rPr>
          <w:rFonts w:ascii="Arial" w:hAnsi="Arial" w:cs="Arial"/>
          <w:b/>
          <w:sz w:val="24"/>
          <w:szCs w:val="24"/>
        </w:rPr>
        <w:t>5</w:t>
      </w:r>
    </w:p>
    <w:p w14:paraId="1D67FF44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3257266A" w14:textId="77777777" w:rsidTr="00F32B8E">
        <w:tc>
          <w:tcPr>
            <w:tcW w:w="2518" w:type="dxa"/>
          </w:tcPr>
          <w:p w14:paraId="39B8A154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Sasaran Kegiatan</w:t>
            </w:r>
          </w:p>
        </w:tc>
        <w:tc>
          <w:tcPr>
            <w:tcW w:w="291" w:type="dxa"/>
          </w:tcPr>
          <w:p w14:paraId="7B11F43F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AD401D4" w14:textId="77777777" w:rsidR="00355075" w:rsidRPr="00355075" w:rsidRDefault="006F0CAB" w:rsidP="00A23E4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0CAB">
              <w:rPr>
                <w:rFonts w:ascii="Arial" w:hAnsi="Arial" w:cs="Arial"/>
                <w:sz w:val="24"/>
                <w:szCs w:val="24"/>
              </w:rPr>
              <w:t xml:space="preserve">Penyusunan </w:t>
            </w:r>
            <w:r w:rsidR="00A23E42">
              <w:rPr>
                <w:rFonts w:ascii="Arial" w:hAnsi="Arial" w:cs="Arial"/>
                <w:sz w:val="24"/>
                <w:szCs w:val="24"/>
              </w:rPr>
              <w:t>Laporan Capaian Kinerja dan Ikhtisar Realisasi Kinerja SKPD</w:t>
            </w:r>
          </w:p>
        </w:tc>
      </w:tr>
      <w:tr w:rsidR="00D2378B" w:rsidRPr="00355075" w14:paraId="61B7335B" w14:textId="77777777" w:rsidTr="00F32B8E">
        <w:tc>
          <w:tcPr>
            <w:tcW w:w="2518" w:type="dxa"/>
          </w:tcPr>
          <w:p w14:paraId="546988D9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2378B">
              <w:rPr>
                <w:rFonts w:ascii="Arial" w:hAnsi="Arial" w:cs="Arial"/>
                <w:sz w:val="24"/>
                <w:szCs w:val="24"/>
              </w:rPr>
              <w:t>Capaian Kegiatan</w:t>
            </w:r>
          </w:p>
        </w:tc>
        <w:tc>
          <w:tcPr>
            <w:tcW w:w="291" w:type="dxa"/>
          </w:tcPr>
          <w:p w14:paraId="6FB3CC9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FBC9BF0" w14:textId="77777777" w:rsidR="00D2378B" w:rsidRDefault="00D2378B" w:rsidP="006F0C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2378B">
              <w:rPr>
                <w:rFonts w:ascii="Arial" w:hAnsi="Arial" w:cs="Arial"/>
                <w:sz w:val="24"/>
                <w:szCs w:val="24"/>
              </w:rPr>
              <w:t xml:space="preserve">Persentase </w:t>
            </w:r>
            <w:r w:rsidR="006F0CAB">
              <w:rPr>
                <w:rFonts w:ascii="Arial" w:hAnsi="Arial" w:cs="Arial"/>
                <w:sz w:val="24"/>
                <w:szCs w:val="24"/>
              </w:rPr>
              <w:t>ketercapaian penunjang urusan pemerintahan daerah provinsi</w:t>
            </w:r>
          </w:p>
        </w:tc>
      </w:tr>
      <w:tr w:rsidR="001E0D01" w:rsidRPr="00355075" w14:paraId="6F3152C3" w14:textId="77777777" w:rsidTr="00F32B8E">
        <w:tc>
          <w:tcPr>
            <w:tcW w:w="2518" w:type="dxa"/>
          </w:tcPr>
          <w:p w14:paraId="4C3A1CD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Keluaran </w:t>
            </w:r>
          </w:p>
        </w:tc>
        <w:tc>
          <w:tcPr>
            <w:tcW w:w="291" w:type="dxa"/>
          </w:tcPr>
          <w:p w14:paraId="6C719529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C74280D" w14:textId="77777777" w:rsidR="001E0D01" w:rsidRPr="00355075" w:rsidRDefault="00A23E42" w:rsidP="007D752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3E42">
              <w:rPr>
                <w:rFonts w:ascii="Arial" w:hAnsi="Arial" w:cs="Arial"/>
                <w:sz w:val="24"/>
                <w:szCs w:val="24"/>
              </w:rPr>
              <w:t>Jumlah Laporan Capaian Kinerja dan Ikhtisar Realisasi Kinerja SKPD dan Laporan Hasil Koordinasi Penyusunan Laporan Capaian Kinerja dan Ikhtisar Realisasi Kinerja SKPD</w:t>
            </w:r>
          </w:p>
        </w:tc>
      </w:tr>
      <w:tr w:rsidR="001E0D01" w:rsidRPr="00355075" w14:paraId="5818EB2F" w14:textId="77777777" w:rsidTr="00F32B8E">
        <w:tc>
          <w:tcPr>
            <w:tcW w:w="2518" w:type="dxa"/>
          </w:tcPr>
          <w:p w14:paraId="5240ED1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1FD454B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FC29D4A" w14:textId="77777777" w:rsidR="001E0D01" w:rsidRPr="00355075" w:rsidRDefault="001E0D01" w:rsidP="006F0CA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Persentase </w:t>
            </w:r>
            <w:r w:rsidR="006F0CAB">
              <w:rPr>
                <w:rFonts w:ascii="Arial" w:hAnsi="Arial" w:cs="Arial"/>
                <w:sz w:val="24"/>
                <w:szCs w:val="24"/>
              </w:rPr>
              <w:t>ketercapaian penunjang urusan pemerintahan daerah provinsi</w:t>
            </w:r>
          </w:p>
        </w:tc>
      </w:tr>
      <w:tr w:rsidR="001E0D01" w:rsidRPr="00355075" w14:paraId="7EEE6825" w14:textId="77777777" w:rsidTr="00F32B8E">
        <w:tc>
          <w:tcPr>
            <w:tcW w:w="2518" w:type="dxa"/>
          </w:tcPr>
          <w:p w14:paraId="4F0358F8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Pagu Anggaran </w:t>
            </w:r>
          </w:p>
        </w:tc>
        <w:tc>
          <w:tcPr>
            <w:tcW w:w="291" w:type="dxa"/>
          </w:tcPr>
          <w:p w14:paraId="4E78F557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1168DCE1" w14:textId="5CB099C9" w:rsidR="001E0D01" w:rsidRPr="00355075" w:rsidRDefault="001E0D01" w:rsidP="0098565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>Rp.</w:t>
            </w:r>
            <w:r w:rsidR="002C4E68">
              <w:rPr>
                <w:rFonts w:ascii="Arial" w:hAnsi="Arial" w:cs="Arial"/>
                <w:sz w:val="24"/>
                <w:szCs w:val="24"/>
              </w:rPr>
              <w:t>8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2C4E68">
              <w:rPr>
                <w:rFonts w:ascii="Arial" w:hAnsi="Arial" w:cs="Arial"/>
                <w:sz w:val="24"/>
                <w:szCs w:val="24"/>
              </w:rPr>
              <w:t>235.0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</w:p>
        </w:tc>
      </w:tr>
      <w:tr w:rsidR="009E01D3" w:rsidRPr="00355075" w14:paraId="2A5EC525" w14:textId="77777777" w:rsidTr="00F32B8E">
        <w:tc>
          <w:tcPr>
            <w:tcW w:w="2518" w:type="dxa"/>
          </w:tcPr>
          <w:p w14:paraId="1B1E4D6D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Jadwal Pelaksanaan</w:t>
            </w:r>
          </w:p>
        </w:tc>
        <w:tc>
          <w:tcPr>
            <w:tcW w:w="291" w:type="dxa"/>
          </w:tcPr>
          <w:p w14:paraId="748D1D58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4ABB57F" w14:textId="2D347710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Januari – Desember 202</w:t>
            </w:r>
            <w:r w:rsidR="002C4E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10BDE786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6067B34E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055696F3" w14:textId="785E3C5A" w:rsidR="0048554B" w:rsidRDefault="00DD73E1" w:rsidP="00DD73E1">
      <w:pPr>
        <w:pStyle w:val="ListParagraph"/>
        <w:spacing w:after="0" w:line="360" w:lineRule="auto"/>
        <w:ind w:left="450" w:firstLine="630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>Guna menunjang urusan pemerintahan daerah provinsi dan terlaksananya sinkronisasi perencanaan dan pelaksanaan kinerja perangkat daerah maka diperlukan proses penyusunan dokumen perencanaan Inspektorat Daerah Provinsi Tahun 202</w:t>
      </w:r>
      <w:r w:rsidR="002C4E68">
        <w:rPr>
          <w:rFonts w:ascii="Arial" w:hAnsi="Arial" w:cs="Arial"/>
          <w:sz w:val="24"/>
          <w:szCs w:val="24"/>
        </w:rPr>
        <w:t>5</w:t>
      </w:r>
      <w:r w:rsidR="00AB2ADB" w:rsidRPr="00D43236">
        <w:rPr>
          <w:rFonts w:ascii="Arial" w:hAnsi="Arial" w:cs="Arial"/>
          <w:sz w:val="24"/>
          <w:szCs w:val="24"/>
        </w:rPr>
        <w:t>.</w:t>
      </w:r>
    </w:p>
    <w:p w14:paraId="3B8AC533" w14:textId="77777777" w:rsidR="002C4E68" w:rsidRPr="00D43236" w:rsidRDefault="002C4E68" w:rsidP="00DD73E1">
      <w:pPr>
        <w:pStyle w:val="ListParagraph"/>
        <w:spacing w:after="0" w:line="360" w:lineRule="auto"/>
        <w:ind w:left="450" w:firstLine="630"/>
        <w:jc w:val="both"/>
        <w:rPr>
          <w:rFonts w:ascii="Arial" w:hAnsi="Arial" w:cs="Arial"/>
          <w:sz w:val="24"/>
          <w:szCs w:val="24"/>
        </w:rPr>
      </w:pPr>
    </w:p>
    <w:p w14:paraId="65E9930F" w14:textId="77777777" w:rsidR="000830E0" w:rsidRPr="00136C46" w:rsidRDefault="005D58CF" w:rsidP="00136C46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>Gambaran Umum :</w:t>
      </w:r>
    </w:p>
    <w:p w14:paraId="4CBB9BC9" w14:textId="77777777" w:rsidR="00BC6C0C" w:rsidRDefault="00DD73E1" w:rsidP="00C54416">
      <w:pPr>
        <w:pStyle w:val="ListParagraph"/>
        <w:spacing w:after="0" w:line="360" w:lineRule="auto"/>
        <w:ind w:left="1440" w:hanging="447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>1.</w:t>
      </w:r>
      <w:r w:rsidRPr="00DD73E1">
        <w:rPr>
          <w:rFonts w:ascii="Arial" w:hAnsi="Arial" w:cs="Arial"/>
          <w:sz w:val="24"/>
          <w:szCs w:val="24"/>
        </w:rPr>
        <w:tab/>
      </w:r>
      <w:r w:rsidR="00BC6C0C">
        <w:rPr>
          <w:rFonts w:ascii="Arial" w:hAnsi="Arial" w:cs="Arial"/>
          <w:sz w:val="24"/>
          <w:szCs w:val="24"/>
        </w:rPr>
        <w:t>Peraturan Menteri Pendayagunaan Aparatur Negara dan Reformasi Birokrasi Republik Indonesia Nomor 53 Tahun 2014 tentang Petunjuk Teknis Perjanjian Kinerja, Pelaporan Kinerja dan Tata Cara Reviu atas Laporan Kinerja Instansi Pemerintah</w:t>
      </w:r>
      <w:r w:rsidR="001F6E3E">
        <w:rPr>
          <w:rFonts w:ascii="Arial" w:hAnsi="Arial" w:cs="Arial"/>
          <w:sz w:val="24"/>
          <w:szCs w:val="24"/>
        </w:rPr>
        <w:t>;</w:t>
      </w:r>
    </w:p>
    <w:p w14:paraId="54545917" w14:textId="167B66C4" w:rsidR="00C54416" w:rsidRPr="00DD73E1" w:rsidRDefault="00BC6C0C" w:rsidP="00C54416">
      <w:pPr>
        <w:pStyle w:val="ListParagraph"/>
        <w:spacing w:after="0" w:line="360" w:lineRule="auto"/>
        <w:ind w:left="1440" w:hanging="44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  </w:t>
      </w:r>
      <w:r w:rsidR="00C54416" w:rsidRPr="00DD73E1">
        <w:rPr>
          <w:rFonts w:ascii="Arial" w:hAnsi="Arial" w:cs="Arial"/>
          <w:sz w:val="24"/>
          <w:szCs w:val="24"/>
        </w:rPr>
        <w:t xml:space="preserve">Peraturan Daerah Provinsi Sumatera Barat Nomor </w:t>
      </w:r>
      <w:r w:rsidR="00C54416">
        <w:rPr>
          <w:rFonts w:ascii="Arial" w:hAnsi="Arial" w:cs="Arial"/>
          <w:sz w:val="24"/>
          <w:szCs w:val="24"/>
        </w:rPr>
        <w:t>2</w:t>
      </w:r>
      <w:r w:rsidR="00C54416" w:rsidRPr="00DD73E1">
        <w:rPr>
          <w:rFonts w:ascii="Arial" w:hAnsi="Arial" w:cs="Arial"/>
          <w:sz w:val="24"/>
          <w:szCs w:val="24"/>
        </w:rPr>
        <w:t xml:space="preserve"> Tahun 20</w:t>
      </w:r>
      <w:r w:rsidR="00C54416">
        <w:rPr>
          <w:rFonts w:ascii="Arial" w:hAnsi="Arial" w:cs="Arial"/>
          <w:sz w:val="24"/>
          <w:szCs w:val="24"/>
        </w:rPr>
        <w:t>21</w:t>
      </w:r>
      <w:r w:rsidR="00C54416" w:rsidRPr="00DD73E1">
        <w:rPr>
          <w:rFonts w:ascii="Arial" w:hAnsi="Arial" w:cs="Arial"/>
          <w:sz w:val="24"/>
          <w:szCs w:val="24"/>
        </w:rPr>
        <w:t xml:space="preserve"> tentang Perubahan </w:t>
      </w:r>
      <w:r w:rsidR="00C54416">
        <w:rPr>
          <w:rFonts w:ascii="Arial" w:hAnsi="Arial" w:cs="Arial"/>
          <w:sz w:val="24"/>
          <w:szCs w:val="24"/>
        </w:rPr>
        <w:t xml:space="preserve">kedua </w:t>
      </w:r>
      <w:r w:rsidR="00C54416" w:rsidRPr="00DD73E1">
        <w:rPr>
          <w:rFonts w:ascii="Arial" w:hAnsi="Arial" w:cs="Arial"/>
          <w:sz w:val="24"/>
          <w:szCs w:val="24"/>
        </w:rPr>
        <w:t>atas Peraturan Daerah Nomor 8 Tahun 2016 tentang Pembentukan dan Susunan Perangkat Daerah Provinsi Sumatera Barat;</w:t>
      </w:r>
    </w:p>
    <w:p w14:paraId="42EAB6D9" w14:textId="77777777" w:rsidR="00DD73E1" w:rsidRDefault="001F6E3E" w:rsidP="00DD73E1">
      <w:pPr>
        <w:pStyle w:val="ListParagraph"/>
        <w:spacing w:after="0" w:line="360" w:lineRule="auto"/>
        <w:ind w:left="144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DD73E1" w:rsidRPr="00DD73E1">
        <w:rPr>
          <w:rFonts w:ascii="Arial" w:hAnsi="Arial" w:cs="Arial"/>
          <w:sz w:val="24"/>
          <w:szCs w:val="24"/>
        </w:rPr>
        <w:t>.</w:t>
      </w:r>
      <w:r w:rsidR="00DD73E1" w:rsidRPr="00DD73E1">
        <w:rPr>
          <w:rFonts w:ascii="Arial" w:hAnsi="Arial" w:cs="Arial"/>
          <w:sz w:val="24"/>
          <w:szCs w:val="24"/>
        </w:rPr>
        <w:tab/>
        <w:t xml:space="preserve">Peraturan Gubernur Nomor </w:t>
      </w:r>
      <w:r w:rsidR="00433398">
        <w:rPr>
          <w:rFonts w:ascii="Arial" w:hAnsi="Arial" w:cs="Arial"/>
          <w:sz w:val="24"/>
          <w:szCs w:val="24"/>
        </w:rPr>
        <w:t>2</w:t>
      </w:r>
      <w:r w:rsidR="00DD73E1" w:rsidRPr="00DD73E1">
        <w:rPr>
          <w:rFonts w:ascii="Arial" w:hAnsi="Arial" w:cs="Arial"/>
          <w:sz w:val="24"/>
          <w:szCs w:val="24"/>
        </w:rPr>
        <w:t>9 Tahun 202</w:t>
      </w:r>
      <w:r w:rsidR="00433398">
        <w:rPr>
          <w:rFonts w:ascii="Arial" w:hAnsi="Arial" w:cs="Arial"/>
          <w:sz w:val="24"/>
          <w:szCs w:val="24"/>
        </w:rPr>
        <w:t>3</w:t>
      </w:r>
      <w:r w:rsidR="00DD73E1" w:rsidRPr="00DD73E1">
        <w:rPr>
          <w:rFonts w:ascii="Arial" w:hAnsi="Arial" w:cs="Arial"/>
          <w:sz w:val="24"/>
          <w:szCs w:val="24"/>
        </w:rPr>
        <w:t xml:space="preserve"> tentang Kedudukan, Susunan Organisasi, Tugas dan Fungsi serta Tata Kerja Perangkat Daerah.</w:t>
      </w:r>
    </w:p>
    <w:p w14:paraId="58A127B6" w14:textId="77777777" w:rsidR="003F7B0D" w:rsidRPr="00DD73E1" w:rsidRDefault="003F7B0D" w:rsidP="00DD73E1">
      <w:pPr>
        <w:pStyle w:val="ListParagraph"/>
        <w:spacing w:after="0" w:line="360" w:lineRule="auto"/>
        <w:ind w:left="1440" w:hanging="450"/>
        <w:jc w:val="both"/>
        <w:rPr>
          <w:rFonts w:ascii="Arial" w:hAnsi="Arial" w:cs="Arial"/>
          <w:sz w:val="24"/>
          <w:szCs w:val="24"/>
        </w:rPr>
      </w:pPr>
    </w:p>
    <w:p w14:paraId="41758776" w14:textId="77777777" w:rsidR="00AC6D60" w:rsidRPr="00B33C5B" w:rsidRDefault="00EA11EA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54DA9188" w14:textId="77777777" w:rsidR="000830E0" w:rsidRDefault="00CB51BE" w:rsidP="00D76C50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dari kegiatan ini adalah </w:t>
      </w:r>
      <w:r w:rsidR="00D76C50">
        <w:rPr>
          <w:rFonts w:ascii="Arial" w:hAnsi="Arial" w:cs="Arial"/>
          <w:sz w:val="24"/>
          <w:szCs w:val="24"/>
        </w:rPr>
        <w:t>t</w:t>
      </w:r>
      <w:r w:rsidR="00DD73E1" w:rsidRPr="00DD73E1">
        <w:rPr>
          <w:rFonts w:ascii="Arial" w:hAnsi="Arial" w:cs="Arial"/>
          <w:sz w:val="24"/>
          <w:szCs w:val="24"/>
        </w:rPr>
        <w:t xml:space="preserve">ersusunnya dokumen </w:t>
      </w:r>
      <w:r w:rsidR="00153A36" w:rsidRPr="00153A36">
        <w:rPr>
          <w:rFonts w:ascii="Arial" w:hAnsi="Arial" w:cs="Arial"/>
          <w:sz w:val="24"/>
          <w:szCs w:val="24"/>
        </w:rPr>
        <w:t>laporan capaian kinerja dan ikhtisar realisasi kinerja</w:t>
      </w:r>
      <w:r w:rsidR="00D76C50">
        <w:rPr>
          <w:rFonts w:ascii="Arial" w:hAnsi="Arial" w:cs="Arial"/>
          <w:sz w:val="24"/>
          <w:szCs w:val="24"/>
        </w:rPr>
        <w:t xml:space="preserve"> </w:t>
      </w:r>
      <w:r w:rsidR="00153A36" w:rsidRPr="00153A36">
        <w:rPr>
          <w:rFonts w:ascii="Arial" w:hAnsi="Arial" w:cs="Arial"/>
          <w:sz w:val="24"/>
          <w:szCs w:val="24"/>
        </w:rPr>
        <w:t>Perangkat Daerah sel</w:t>
      </w:r>
      <w:r w:rsidR="00153A36">
        <w:rPr>
          <w:rFonts w:ascii="Arial" w:hAnsi="Arial" w:cs="Arial"/>
          <w:sz w:val="24"/>
          <w:szCs w:val="24"/>
        </w:rPr>
        <w:t xml:space="preserve">ama 1 tahun kinerja antara lain </w:t>
      </w:r>
      <w:r w:rsidR="006D3137">
        <w:rPr>
          <w:rFonts w:ascii="Arial" w:hAnsi="Arial" w:cs="Arial"/>
          <w:sz w:val="24"/>
          <w:szCs w:val="24"/>
        </w:rPr>
        <w:t>L</w:t>
      </w:r>
      <w:r w:rsidR="00153A36" w:rsidRPr="00153A36">
        <w:rPr>
          <w:rFonts w:ascii="Arial" w:hAnsi="Arial" w:cs="Arial"/>
          <w:sz w:val="24"/>
          <w:szCs w:val="24"/>
        </w:rPr>
        <w:t>K</w:t>
      </w:r>
      <w:r w:rsidR="006D3137">
        <w:rPr>
          <w:rFonts w:ascii="Arial" w:hAnsi="Arial" w:cs="Arial"/>
          <w:sz w:val="24"/>
          <w:szCs w:val="24"/>
        </w:rPr>
        <w:t>j</w:t>
      </w:r>
      <w:r w:rsidR="00153A36" w:rsidRPr="00153A36">
        <w:rPr>
          <w:rFonts w:ascii="Arial" w:hAnsi="Arial" w:cs="Arial"/>
          <w:sz w:val="24"/>
          <w:szCs w:val="24"/>
        </w:rPr>
        <w:t>IP, LPPD dan LKPJ</w:t>
      </w:r>
      <w:r w:rsidR="00DD73E1" w:rsidRPr="00DD73E1">
        <w:rPr>
          <w:rFonts w:ascii="Arial" w:hAnsi="Arial" w:cs="Arial"/>
          <w:sz w:val="24"/>
          <w:szCs w:val="24"/>
        </w:rPr>
        <w:t>.</w:t>
      </w:r>
    </w:p>
    <w:p w14:paraId="1ADBDAB3" w14:textId="77777777" w:rsidR="003F7B0D" w:rsidRPr="008F7072" w:rsidRDefault="003F7B0D" w:rsidP="00D76C50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00DFC2D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>Ruang Lingkup Pekerjaan :</w:t>
      </w:r>
    </w:p>
    <w:p w14:paraId="13902829" w14:textId="77777777" w:rsidR="004C34F8" w:rsidRDefault="0067612D" w:rsidP="0067612D">
      <w:pPr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67612D">
        <w:rPr>
          <w:rFonts w:ascii="Arial" w:hAnsi="Arial" w:cs="Arial"/>
          <w:sz w:val="24"/>
          <w:szCs w:val="24"/>
        </w:rPr>
        <w:t>Dokumen perencanaan perangkat daerah (</w:t>
      </w:r>
      <w:r w:rsidR="006D3137">
        <w:rPr>
          <w:rFonts w:ascii="Arial" w:hAnsi="Arial" w:cs="Arial"/>
          <w:sz w:val="24"/>
          <w:szCs w:val="24"/>
        </w:rPr>
        <w:t>LKjIP, LPPD dan LKPJ</w:t>
      </w:r>
      <w:r w:rsidRPr="0067612D">
        <w:rPr>
          <w:rFonts w:ascii="Arial" w:hAnsi="Arial" w:cs="Arial"/>
          <w:sz w:val="24"/>
          <w:szCs w:val="24"/>
        </w:rPr>
        <w:t>) yang disusun.</w:t>
      </w:r>
    </w:p>
    <w:p w14:paraId="63B6559C" w14:textId="77777777" w:rsidR="003F7B0D" w:rsidRDefault="003F7B0D" w:rsidP="0067612D">
      <w:pPr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1C617042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Penerima Manfaat </w:t>
      </w:r>
      <w:r w:rsidR="00B33C5B">
        <w:rPr>
          <w:rFonts w:ascii="Arial" w:hAnsi="Arial" w:cs="Arial"/>
          <w:b/>
          <w:sz w:val="24"/>
          <w:szCs w:val="24"/>
        </w:rPr>
        <w:t>:</w:t>
      </w:r>
    </w:p>
    <w:p w14:paraId="611C52C4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menerima manfaat dari </w:t>
      </w:r>
      <w:r w:rsidR="006D3860">
        <w:rPr>
          <w:rFonts w:ascii="Arial" w:hAnsi="Arial" w:cs="Arial"/>
          <w:sz w:val="24"/>
          <w:szCs w:val="24"/>
        </w:rPr>
        <w:t>p</w:t>
      </w:r>
      <w:r w:rsidR="004B6CBC">
        <w:rPr>
          <w:rFonts w:ascii="Arial" w:hAnsi="Arial" w:cs="Arial"/>
          <w:sz w:val="24"/>
          <w:szCs w:val="24"/>
        </w:rPr>
        <w:t>enyusunan dokumen perencanaan perangkat daerah</w:t>
      </w:r>
      <w:r>
        <w:rPr>
          <w:rFonts w:ascii="Arial" w:hAnsi="Arial" w:cs="Arial"/>
          <w:sz w:val="24"/>
          <w:szCs w:val="24"/>
        </w:rPr>
        <w:t xml:space="preserve"> ini adalah Pemerintah Provinsi Sumatera Barat</w:t>
      </w:r>
      <w:r w:rsidR="004B6CBC">
        <w:rPr>
          <w:rFonts w:ascii="Arial" w:hAnsi="Arial" w:cs="Arial"/>
          <w:sz w:val="24"/>
          <w:szCs w:val="24"/>
        </w:rPr>
        <w:t>.</w:t>
      </w:r>
    </w:p>
    <w:p w14:paraId="2D221BFC" w14:textId="77777777" w:rsidR="003F7B0D" w:rsidRDefault="003F7B0D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6A00B49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>Strategi Pencapaian Keluaran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80"/>
        <w:gridCol w:w="3240"/>
      </w:tblGrid>
      <w:tr w:rsidR="00C22E49" w:rsidRPr="008D09B2" w14:paraId="422CC245" w14:textId="77777777" w:rsidTr="00CF238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C072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  <w:lang w:val="it-IT"/>
              </w:rPr>
            </w:pPr>
            <w:r w:rsidRPr="008C179B">
              <w:rPr>
                <w:rFonts w:ascii="Tahoma" w:hAnsi="Tahoma" w:cs="Tahoma"/>
                <w:b/>
                <w:bCs/>
                <w:lang w:val="it-IT"/>
              </w:rPr>
              <w:t>No.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8F7C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  <w:lang w:val="it-IT"/>
              </w:rPr>
            </w:pPr>
            <w:r w:rsidRPr="008C179B">
              <w:rPr>
                <w:rFonts w:ascii="Tahoma" w:hAnsi="Tahoma" w:cs="Tahoma"/>
                <w:b/>
                <w:bCs/>
                <w:lang w:val="it-IT"/>
              </w:rPr>
              <w:t>Kegiatan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9591F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C179B">
              <w:rPr>
                <w:rFonts w:ascii="Tahoma" w:hAnsi="Tahoma" w:cs="Tahoma"/>
                <w:b/>
                <w:bCs/>
              </w:rPr>
              <w:t>Waktu</w:t>
            </w:r>
          </w:p>
        </w:tc>
      </w:tr>
      <w:tr w:rsidR="00C22E49" w:rsidRPr="008D09B2" w14:paraId="06FBB41B" w14:textId="77777777" w:rsidTr="00CF238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9E5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 w:rsidRPr="008C179B">
              <w:rPr>
                <w:rFonts w:ascii="Tahoma" w:hAnsi="Tahoma" w:cs="Tahoma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D550" w14:textId="77777777" w:rsidR="00C22E49" w:rsidRPr="00886A87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Kegiatan rapat-rapat dan koordinasi  penyusunan dokumen perencanaan</w:t>
            </w:r>
            <w:r w:rsidR="009E55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D1FDA" w14:textId="77777777" w:rsidR="00C22E49" w:rsidRPr="007907AD" w:rsidRDefault="00C22E49" w:rsidP="002018E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Januari s/d </w:t>
            </w:r>
            <w:r w:rsidR="002018E3">
              <w:rPr>
                <w:rFonts w:ascii="Tahoma" w:hAnsi="Tahoma" w:cs="Tahoma"/>
              </w:rPr>
              <w:t>Maret</w:t>
            </w:r>
          </w:p>
        </w:tc>
      </w:tr>
      <w:tr w:rsidR="00C22E49" w:rsidRPr="008D09B2" w14:paraId="1BDE8066" w14:textId="77777777" w:rsidTr="00CF238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559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 w:rsidRPr="008C179B">
              <w:rPr>
                <w:rFonts w:ascii="Tahoma" w:hAnsi="Tahoma" w:cs="Tahoma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3A07" w14:textId="77777777" w:rsidR="00C22E49" w:rsidRPr="00886A87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Belanja barang untuk pembuatan dokumen perencanaan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ED5D8" w14:textId="77777777" w:rsidR="00C22E49" w:rsidRPr="007907AD" w:rsidRDefault="00C22E49" w:rsidP="002018E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Januari s/d </w:t>
            </w:r>
            <w:r w:rsidR="002018E3">
              <w:rPr>
                <w:rFonts w:ascii="Tahoma" w:hAnsi="Tahoma" w:cs="Tahoma"/>
              </w:rPr>
              <w:t>Maret</w:t>
            </w:r>
          </w:p>
        </w:tc>
      </w:tr>
    </w:tbl>
    <w:p w14:paraId="3DDCD92E" w14:textId="77777777" w:rsidR="003F7B0D" w:rsidRDefault="003F7B0D" w:rsidP="003F7B0D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41F0785F" w14:textId="10984D5E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5414BB">
        <w:rPr>
          <w:rFonts w:ascii="Arial" w:hAnsi="Arial" w:cs="Arial"/>
          <w:b/>
          <w:sz w:val="24"/>
          <w:szCs w:val="24"/>
        </w:rPr>
        <w:t>Tahapan dan Waktu Pelaksanaan</w:t>
      </w:r>
      <w:r w:rsidR="005414B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390"/>
        <w:gridCol w:w="570"/>
        <w:gridCol w:w="578"/>
        <w:gridCol w:w="578"/>
        <w:gridCol w:w="545"/>
        <w:gridCol w:w="556"/>
        <w:gridCol w:w="556"/>
        <w:gridCol w:w="490"/>
        <w:gridCol w:w="561"/>
        <w:gridCol w:w="572"/>
        <w:gridCol w:w="528"/>
        <w:gridCol w:w="572"/>
        <w:gridCol w:w="572"/>
      </w:tblGrid>
      <w:tr w:rsidR="009D56A9" w14:paraId="140935B3" w14:textId="77777777" w:rsidTr="00C01FF9">
        <w:tc>
          <w:tcPr>
            <w:tcW w:w="524" w:type="dxa"/>
            <w:vMerge w:val="restart"/>
          </w:tcPr>
          <w:p w14:paraId="4146B64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50CAC6C3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0E37F6F1" w14:textId="6203FD96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3F7B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7FC407CD" w14:textId="77777777" w:rsidTr="00C01FF9">
        <w:tc>
          <w:tcPr>
            <w:tcW w:w="524" w:type="dxa"/>
            <w:vMerge/>
          </w:tcPr>
          <w:p w14:paraId="405DC5B5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687674A3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236580C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080A6442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11B4E52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63C81DA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0F27502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723A23D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3B7D896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5A0D2B5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</w:p>
        </w:tc>
        <w:tc>
          <w:tcPr>
            <w:tcW w:w="572" w:type="dxa"/>
          </w:tcPr>
          <w:p w14:paraId="4644197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3D91F64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</w:p>
        </w:tc>
        <w:tc>
          <w:tcPr>
            <w:tcW w:w="572" w:type="dxa"/>
          </w:tcPr>
          <w:p w14:paraId="23A1A19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0ABFEBC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3FAA1FDA" w14:textId="77777777" w:rsidTr="00C01FF9">
        <w:tc>
          <w:tcPr>
            <w:tcW w:w="524" w:type="dxa"/>
          </w:tcPr>
          <w:p w14:paraId="1E6C489F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3B2ACD0F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Pelaksanaan</w:t>
            </w:r>
          </w:p>
        </w:tc>
        <w:tc>
          <w:tcPr>
            <w:tcW w:w="684" w:type="dxa"/>
          </w:tcPr>
          <w:p w14:paraId="7409955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2EB3CD4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42D6009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26E09F3B" w14:textId="77777777" w:rsidR="00C01FF9" w:rsidRDefault="00C01FF9" w:rsidP="004B3FDB">
            <w:pPr>
              <w:jc w:val="center"/>
            </w:pPr>
          </w:p>
        </w:tc>
        <w:tc>
          <w:tcPr>
            <w:tcW w:w="620" w:type="dxa"/>
          </w:tcPr>
          <w:p w14:paraId="12496B22" w14:textId="77777777" w:rsidR="00C01FF9" w:rsidRDefault="00C01FF9" w:rsidP="004B3FDB">
            <w:pPr>
              <w:jc w:val="center"/>
            </w:pPr>
          </w:p>
        </w:tc>
        <w:tc>
          <w:tcPr>
            <w:tcW w:w="620" w:type="dxa"/>
          </w:tcPr>
          <w:p w14:paraId="259FC2E2" w14:textId="77777777" w:rsidR="00C01FF9" w:rsidRDefault="00C01FF9" w:rsidP="004B3FDB">
            <w:pPr>
              <w:jc w:val="center"/>
            </w:pPr>
          </w:p>
        </w:tc>
        <w:tc>
          <w:tcPr>
            <w:tcW w:w="557" w:type="dxa"/>
          </w:tcPr>
          <w:p w14:paraId="7D040F2C" w14:textId="77777777" w:rsidR="00C01FF9" w:rsidRDefault="00C01FF9" w:rsidP="004B3FDB">
            <w:pPr>
              <w:jc w:val="center"/>
            </w:pPr>
          </w:p>
        </w:tc>
        <w:tc>
          <w:tcPr>
            <w:tcW w:w="561" w:type="dxa"/>
          </w:tcPr>
          <w:p w14:paraId="1FC6F83B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2F2DC2FB" w14:textId="77777777" w:rsidR="00C01FF9" w:rsidRDefault="00C01FF9" w:rsidP="004B3FDB">
            <w:pPr>
              <w:jc w:val="center"/>
            </w:pPr>
          </w:p>
        </w:tc>
        <w:tc>
          <w:tcPr>
            <w:tcW w:w="528" w:type="dxa"/>
          </w:tcPr>
          <w:p w14:paraId="099DDEF8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087F8406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1EF888F0" w14:textId="77777777" w:rsidR="00C01FF9" w:rsidRDefault="00C01FF9" w:rsidP="004B3FDB">
            <w:pPr>
              <w:jc w:val="center"/>
            </w:pPr>
          </w:p>
        </w:tc>
      </w:tr>
    </w:tbl>
    <w:p w14:paraId="00C32064" w14:textId="77777777" w:rsidR="000B0E07" w:rsidRDefault="000B0E07" w:rsidP="000B0E07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C94BEAA" w14:textId="51107E1E" w:rsidR="00AC2F66" w:rsidRDefault="001378BE" w:rsidP="000B0E07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1378BE">
        <w:rPr>
          <w:rFonts w:ascii="Arial" w:hAnsi="Arial" w:cs="Arial"/>
          <w:b/>
          <w:sz w:val="24"/>
          <w:szCs w:val="24"/>
        </w:rPr>
        <w:t>Penutup :</w:t>
      </w:r>
    </w:p>
    <w:p w14:paraId="7163831B" w14:textId="6BDE3F2D" w:rsidR="00C652F0" w:rsidRPr="00045582" w:rsidRDefault="00485B38" w:rsidP="000B0E07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 xml:space="preserve">lah Kerangka Acuan Kerja ini dibuat untuk dapat dijadikan acuan dalam pelaksanaan kegiatan </w:t>
      </w:r>
      <w:r w:rsidR="00DE543C">
        <w:rPr>
          <w:rFonts w:ascii="Arial" w:hAnsi="Arial" w:cs="Arial"/>
          <w:sz w:val="24"/>
          <w:szCs w:val="24"/>
        </w:rPr>
        <w:t>Koordinasi dan Penyusunan Laporan Capaian Kinerja SKPD</w:t>
      </w:r>
      <w:r w:rsidR="00DD4F94">
        <w:rPr>
          <w:rFonts w:ascii="Arial" w:hAnsi="Arial" w:cs="Arial"/>
          <w:sz w:val="24"/>
          <w:szCs w:val="24"/>
        </w:rPr>
        <w:t xml:space="preserve"> </w:t>
      </w:r>
      <w:r w:rsidR="00045582" w:rsidRPr="00045582">
        <w:rPr>
          <w:rFonts w:ascii="Arial" w:hAnsi="Arial" w:cs="Arial"/>
          <w:sz w:val="24"/>
          <w:szCs w:val="24"/>
        </w:rPr>
        <w:t>ini dibuat di Lingkungan Inspektorat Provinsi Sumatera Barat Tahun Anggaran 202</w:t>
      </w:r>
      <w:r w:rsidR="000B0E07">
        <w:rPr>
          <w:rFonts w:ascii="Arial" w:hAnsi="Arial" w:cs="Arial"/>
          <w:sz w:val="24"/>
          <w:szCs w:val="24"/>
        </w:rPr>
        <w:t>5</w:t>
      </w:r>
      <w:r w:rsidR="00045582"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>untuk dipergunakan sebagaimana mestinya</w:t>
      </w:r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11A98CAF" w14:textId="77777777" w:rsidR="005F4163" w:rsidRDefault="005F4163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086E261" w14:textId="2661F186" w:rsidR="00DE543C" w:rsidRPr="003E7566" w:rsidRDefault="00DE543C" w:rsidP="00DE543C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Tahoma" w:hAnsi="Tahoma" w:cs="Tahoma"/>
          <w:lang w:val="sv-SE"/>
        </w:rPr>
        <w:lastRenderedPageBreak/>
        <w:t xml:space="preserve"> 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>Padang,  Januari 202</w:t>
      </w:r>
      <w:r w:rsidR="000B0E07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3024"/>
        <w:gridCol w:w="6576"/>
        <w:gridCol w:w="448"/>
      </w:tblGrid>
      <w:tr w:rsidR="00DE543C" w:rsidRPr="003E7566" w14:paraId="11D130B7" w14:textId="77777777" w:rsidTr="004311F9">
        <w:tc>
          <w:tcPr>
            <w:tcW w:w="3057" w:type="dxa"/>
          </w:tcPr>
          <w:p w14:paraId="41A75DAF" w14:textId="77777777" w:rsidR="00DE543C" w:rsidRPr="003E7566" w:rsidRDefault="00DE543C" w:rsidP="004311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4CC1D020" w14:textId="77777777" w:rsidR="00DE543C" w:rsidRPr="003E7566" w:rsidRDefault="00DE543C" w:rsidP="004311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425A3564" w14:textId="77777777" w:rsidR="00DE543C" w:rsidRPr="003E7566" w:rsidRDefault="00DE543C" w:rsidP="00431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>Kuasa Pengguna Anggaran</w:t>
            </w:r>
          </w:p>
          <w:p w14:paraId="19BF0809" w14:textId="77777777" w:rsidR="00DE543C" w:rsidRPr="003E7566" w:rsidRDefault="00DE543C" w:rsidP="00431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A3F86B" w14:textId="77777777" w:rsidR="00DE543C" w:rsidRDefault="00DE543C" w:rsidP="00431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7DEEB9" w14:textId="77777777" w:rsidR="003E7566" w:rsidRDefault="003E7566" w:rsidP="00431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3BFE7C" w14:textId="77777777" w:rsidR="003E7566" w:rsidRDefault="003E7566" w:rsidP="004311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9E9544" w14:textId="77777777" w:rsidR="00DE543C" w:rsidRPr="003E7566" w:rsidRDefault="00DE543C" w:rsidP="00DE5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>RINI OCTAVIANTI, ST, M.Si</w:t>
            </w:r>
          </w:p>
        </w:tc>
      </w:tr>
      <w:tr w:rsidR="00C11140" w:rsidRPr="0053475A" w14:paraId="6E687F29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21469C3F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646A4B4E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2CE4E678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5F05613B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CD7D4A3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C70037A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0424081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8B15EF8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951C39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E33A89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B93F53">
      <w:footerReference w:type="default" r:id="rId9"/>
      <w:pgSz w:w="11907" w:h="16839" w:code="9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6A95" w14:textId="77777777" w:rsidR="00BB2421" w:rsidRDefault="00BB2421" w:rsidP="00FE2D15">
      <w:pPr>
        <w:spacing w:after="0" w:line="240" w:lineRule="auto"/>
      </w:pPr>
      <w:r>
        <w:separator/>
      </w:r>
    </w:p>
  </w:endnote>
  <w:endnote w:type="continuationSeparator" w:id="0">
    <w:p w14:paraId="51823081" w14:textId="77777777" w:rsidR="00BB2421" w:rsidRDefault="00BB2421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C22AD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2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72B4134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B0F34" w14:textId="77777777" w:rsidR="00BB2421" w:rsidRDefault="00BB2421" w:rsidP="00FE2D15">
      <w:pPr>
        <w:spacing w:after="0" w:line="240" w:lineRule="auto"/>
      </w:pPr>
      <w:r>
        <w:separator/>
      </w:r>
    </w:p>
  </w:footnote>
  <w:footnote w:type="continuationSeparator" w:id="0">
    <w:p w14:paraId="145B9B37" w14:textId="77777777" w:rsidR="00BB2421" w:rsidRDefault="00BB2421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4973">
    <w:abstractNumId w:val="4"/>
  </w:num>
  <w:num w:numId="2" w16cid:durableId="1476216123">
    <w:abstractNumId w:val="7"/>
  </w:num>
  <w:num w:numId="3" w16cid:durableId="1361129795">
    <w:abstractNumId w:val="5"/>
  </w:num>
  <w:num w:numId="4" w16cid:durableId="62797920">
    <w:abstractNumId w:val="6"/>
  </w:num>
  <w:num w:numId="5" w16cid:durableId="771439447">
    <w:abstractNumId w:val="3"/>
  </w:num>
  <w:num w:numId="6" w16cid:durableId="1989092118">
    <w:abstractNumId w:val="8"/>
  </w:num>
  <w:num w:numId="7" w16cid:durableId="1535844434">
    <w:abstractNumId w:val="1"/>
  </w:num>
  <w:num w:numId="8" w16cid:durableId="1352150534">
    <w:abstractNumId w:val="0"/>
  </w:num>
  <w:num w:numId="9" w16cid:durableId="1937864264">
    <w:abstractNumId w:val="2"/>
  </w:num>
  <w:num w:numId="10" w16cid:durableId="1779138187">
    <w:abstractNumId w:val="10"/>
  </w:num>
  <w:num w:numId="11" w16cid:durableId="18584222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B0E07"/>
    <w:rsid w:val="000D1A13"/>
    <w:rsid w:val="000E31B2"/>
    <w:rsid w:val="00104387"/>
    <w:rsid w:val="00107779"/>
    <w:rsid w:val="00126CFB"/>
    <w:rsid w:val="001301EF"/>
    <w:rsid w:val="00133E12"/>
    <w:rsid w:val="00136C46"/>
    <w:rsid w:val="001378BE"/>
    <w:rsid w:val="001446A1"/>
    <w:rsid w:val="00153A36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F6E3E"/>
    <w:rsid w:val="002018E3"/>
    <w:rsid w:val="002068ED"/>
    <w:rsid w:val="00222010"/>
    <w:rsid w:val="0022357C"/>
    <w:rsid w:val="0022671B"/>
    <w:rsid w:val="00241CF8"/>
    <w:rsid w:val="00252591"/>
    <w:rsid w:val="00266F4D"/>
    <w:rsid w:val="0026793B"/>
    <w:rsid w:val="00287247"/>
    <w:rsid w:val="00295134"/>
    <w:rsid w:val="002A4EC5"/>
    <w:rsid w:val="002C4E68"/>
    <w:rsid w:val="002F533E"/>
    <w:rsid w:val="003346FC"/>
    <w:rsid w:val="00355075"/>
    <w:rsid w:val="003569F2"/>
    <w:rsid w:val="00366083"/>
    <w:rsid w:val="003702EB"/>
    <w:rsid w:val="003722E0"/>
    <w:rsid w:val="00391CCF"/>
    <w:rsid w:val="003B0541"/>
    <w:rsid w:val="003C11F5"/>
    <w:rsid w:val="003C36FE"/>
    <w:rsid w:val="003C3908"/>
    <w:rsid w:val="003D0FF4"/>
    <w:rsid w:val="003E7566"/>
    <w:rsid w:val="003F4FC2"/>
    <w:rsid w:val="003F7B0D"/>
    <w:rsid w:val="00402F35"/>
    <w:rsid w:val="004042B1"/>
    <w:rsid w:val="004259D0"/>
    <w:rsid w:val="00432008"/>
    <w:rsid w:val="00433398"/>
    <w:rsid w:val="00442578"/>
    <w:rsid w:val="004571E4"/>
    <w:rsid w:val="00460DCA"/>
    <w:rsid w:val="00470A3E"/>
    <w:rsid w:val="00476DEA"/>
    <w:rsid w:val="0048000F"/>
    <w:rsid w:val="00482ED9"/>
    <w:rsid w:val="0048554B"/>
    <w:rsid w:val="00485B38"/>
    <w:rsid w:val="00493EB6"/>
    <w:rsid w:val="004B3FDB"/>
    <w:rsid w:val="004B4559"/>
    <w:rsid w:val="004B6CBC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A0173"/>
    <w:rsid w:val="005B3EAF"/>
    <w:rsid w:val="005B6BF4"/>
    <w:rsid w:val="005B700E"/>
    <w:rsid w:val="005C36F9"/>
    <w:rsid w:val="005D3417"/>
    <w:rsid w:val="005D58CF"/>
    <w:rsid w:val="005D76D4"/>
    <w:rsid w:val="005F4163"/>
    <w:rsid w:val="00601E8E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12D"/>
    <w:rsid w:val="00676AF2"/>
    <w:rsid w:val="00686D45"/>
    <w:rsid w:val="006A2AA1"/>
    <w:rsid w:val="006B7EE6"/>
    <w:rsid w:val="006C51A5"/>
    <w:rsid w:val="006D1D2A"/>
    <w:rsid w:val="006D3137"/>
    <w:rsid w:val="006D3860"/>
    <w:rsid w:val="006E166F"/>
    <w:rsid w:val="006E1960"/>
    <w:rsid w:val="006E23BA"/>
    <w:rsid w:val="006F0CAB"/>
    <w:rsid w:val="007063D4"/>
    <w:rsid w:val="00707CCC"/>
    <w:rsid w:val="00725F88"/>
    <w:rsid w:val="00734114"/>
    <w:rsid w:val="0074435E"/>
    <w:rsid w:val="00745CAF"/>
    <w:rsid w:val="00746DF8"/>
    <w:rsid w:val="00775143"/>
    <w:rsid w:val="00796F64"/>
    <w:rsid w:val="007A7AAC"/>
    <w:rsid w:val="007C40F8"/>
    <w:rsid w:val="007D7528"/>
    <w:rsid w:val="007E172E"/>
    <w:rsid w:val="007E2C7D"/>
    <w:rsid w:val="00800F6C"/>
    <w:rsid w:val="00821529"/>
    <w:rsid w:val="00837F55"/>
    <w:rsid w:val="00844F17"/>
    <w:rsid w:val="008533D3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25DEC"/>
    <w:rsid w:val="00932D14"/>
    <w:rsid w:val="00940007"/>
    <w:rsid w:val="009417D5"/>
    <w:rsid w:val="00965146"/>
    <w:rsid w:val="00970B97"/>
    <w:rsid w:val="00985656"/>
    <w:rsid w:val="009936C8"/>
    <w:rsid w:val="009A0D6F"/>
    <w:rsid w:val="009A195E"/>
    <w:rsid w:val="009A2F94"/>
    <w:rsid w:val="009C1A46"/>
    <w:rsid w:val="009D56A9"/>
    <w:rsid w:val="009E01D3"/>
    <w:rsid w:val="009E554C"/>
    <w:rsid w:val="009E7C6A"/>
    <w:rsid w:val="00A12B41"/>
    <w:rsid w:val="00A17351"/>
    <w:rsid w:val="00A22BE6"/>
    <w:rsid w:val="00A23E42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539C6"/>
    <w:rsid w:val="00B6032D"/>
    <w:rsid w:val="00B61773"/>
    <w:rsid w:val="00B6323C"/>
    <w:rsid w:val="00B93F53"/>
    <w:rsid w:val="00BA0924"/>
    <w:rsid w:val="00BA1886"/>
    <w:rsid w:val="00BB2421"/>
    <w:rsid w:val="00BC42F3"/>
    <w:rsid w:val="00BC6C0C"/>
    <w:rsid w:val="00BD4E84"/>
    <w:rsid w:val="00C002B9"/>
    <w:rsid w:val="00C01FF9"/>
    <w:rsid w:val="00C11140"/>
    <w:rsid w:val="00C2100D"/>
    <w:rsid w:val="00C22E49"/>
    <w:rsid w:val="00C24284"/>
    <w:rsid w:val="00C47E9E"/>
    <w:rsid w:val="00C54416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76C50"/>
    <w:rsid w:val="00D917AD"/>
    <w:rsid w:val="00DA145C"/>
    <w:rsid w:val="00DD4011"/>
    <w:rsid w:val="00DD4F94"/>
    <w:rsid w:val="00DD73E1"/>
    <w:rsid w:val="00DE543C"/>
    <w:rsid w:val="00DE594B"/>
    <w:rsid w:val="00E14099"/>
    <w:rsid w:val="00E25A2A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940FA"/>
    <w:rsid w:val="00EA11EA"/>
    <w:rsid w:val="00EB0B57"/>
    <w:rsid w:val="00EB2AD2"/>
    <w:rsid w:val="00EB2DBB"/>
    <w:rsid w:val="00EC4C91"/>
    <w:rsid w:val="00EE199C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A69F"/>
  <w15:docId w15:val="{41340560-C5B6-4CE0-8A1B-DB09C947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9C2A-1F8A-457B-912A-878D8487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3</cp:revision>
  <cp:lastPrinted>2024-02-19T07:04:00Z</cp:lastPrinted>
  <dcterms:created xsi:type="dcterms:W3CDTF">2025-03-03T07:41:00Z</dcterms:created>
  <dcterms:modified xsi:type="dcterms:W3CDTF">2025-03-03T07:43:00Z</dcterms:modified>
</cp:coreProperties>
</file>