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E068E" w14:textId="77777777" w:rsidR="00646279" w:rsidRDefault="00646279" w:rsidP="003346FC">
      <w:pPr>
        <w:spacing w:after="0" w:line="360" w:lineRule="auto"/>
      </w:pPr>
    </w:p>
    <w:p w14:paraId="09DE5B58" w14:textId="77777777" w:rsidR="00646279" w:rsidRDefault="00646279" w:rsidP="003346FC">
      <w:pPr>
        <w:spacing w:after="0" w:line="360" w:lineRule="auto"/>
      </w:pPr>
    </w:p>
    <w:p w14:paraId="3262E5B5" w14:textId="77777777" w:rsidR="00646279" w:rsidRDefault="00646279" w:rsidP="003346FC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4A4807EF" wp14:editId="48653E94">
            <wp:extent cx="109537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32713" w14:textId="77777777" w:rsidR="00646279" w:rsidRPr="007063D4" w:rsidRDefault="00646279" w:rsidP="003346FC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7063D4">
        <w:rPr>
          <w:rFonts w:ascii="Arial" w:hAnsi="Arial" w:cs="Arial"/>
          <w:sz w:val="28"/>
          <w:szCs w:val="28"/>
        </w:rPr>
        <w:t>PEMERINTAH PROVINSI SUMATERA BARAT</w:t>
      </w:r>
    </w:p>
    <w:p w14:paraId="54CEC0F8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1ACDC55C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3191709" w14:textId="77777777" w:rsidR="004C55F8" w:rsidRDefault="007063D4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  <w:r w:rsidRPr="00F81B9E">
        <w:rPr>
          <w:rFonts w:ascii="Cooper Black" w:hAnsi="Cooper Black" w:cs="Arial"/>
          <w:sz w:val="40"/>
          <w:szCs w:val="40"/>
        </w:rPr>
        <w:t>KERANGKA ACUAN KERJA (KAK)</w:t>
      </w:r>
    </w:p>
    <w:p w14:paraId="5495B273" w14:textId="77777777" w:rsidR="00391CCF" w:rsidRPr="00F81B9E" w:rsidRDefault="00391CCF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425"/>
        <w:gridCol w:w="6663"/>
      </w:tblGrid>
      <w:tr w:rsidR="00BA1886" w:rsidRPr="00BA1886" w14:paraId="5AD29D85" w14:textId="77777777" w:rsidTr="00391CCF">
        <w:tc>
          <w:tcPr>
            <w:tcW w:w="2830" w:type="dxa"/>
          </w:tcPr>
          <w:p w14:paraId="0DEBBB20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Perangkat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  <w:tc>
          <w:tcPr>
            <w:tcW w:w="425" w:type="dxa"/>
          </w:tcPr>
          <w:p w14:paraId="277669D5" w14:textId="77777777" w:rsidR="00BA1886" w:rsidRPr="00BA1886" w:rsidRDefault="00F81B9E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04C6D47E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Inspektorat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 Provinsi Sumatera Barat</w:t>
            </w:r>
          </w:p>
        </w:tc>
      </w:tr>
      <w:tr w:rsidR="00E14099" w:rsidRPr="00BA1886" w14:paraId="43BC1FFB" w14:textId="77777777" w:rsidTr="00391CCF">
        <w:tc>
          <w:tcPr>
            <w:tcW w:w="2830" w:type="dxa"/>
          </w:tcPr>
          <w:p w14:paraId="5CF1D68C" w14:textId="77777777" w:rsidR="00E14099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Program</w:t>
            </w:r>
          </w:p>
        </w:tc>
        <w:tc>
          <w:tcPr>
            <w:tcW w:w="425" w:type="dxa"/>
          </w:tcPr>
          <w:p w14:paraId="44C0B3E4" w14:textId="77777777" w:rsidR="00E14099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2FC21569" w14:textId="77777777" w:rsidR="00E14099" w:rsidRDefault="00F87787" w:rsidP="002038E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341F1">
              <w:rPr>
                <w:rFonts w:ascii="Arial" w:hAnsi="Arial" w:cs="Arial"/>
                <w:sz w:val="28"/>
                <w:szCs w:val="28"/>
              </w:rPr>
              <w:t>6.01.0</w:t>
            </w:r>
            <w:r w:rsidR="002038E7">
              <w:rPr>
                <w:rFonts w:ascii="Arial" w:hAnsi="Arial" w:cs="Arial"/>
                <w:sz w:val="28"/>
                <w:szCs w:val="28"/>
              </w:rPr>
              <w:t>3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Program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</w:t>
            </w:r>
            <w:r w:rsidR="002038E7">
              <w:rPr>
                <w:rFonts w:ascii="Arial" w:hAnsi="Arial" w:cs="Arial"/>
                <w:sz w:val="28"/>
                <w:szCs w:val="28"/>
              </w:rPr>
              <w:t>rumusan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Kebijakan,Pendampingan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dan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Asistensi</w:t>
            </w:r>
            <w:proofErr w:type="spellEnd"/>
          </w:p>
        </w:tc>
      </w:tr>
      <w:tr w:rsidR="00E14099" w:rsidRPr="00BA1886" w14:paraId="31BA5027" w14:textId="77777777" w:rsidTr="00391CCF">
        <w:tc>
          <w:tcPr>
            <w:tcW w:w="2830" w:type="dxa"/>
          </w:tcPr>
          <w:p w14:paraId="2323BAED" w14:textId="77777777" w:rsidR="00E14099" w:rsidRPr="00BA1886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Kegiatan</w:t>
            </w:r>
          </w:p>
        </w:tc>
        <w:tc>
          <w:tcPr>
            <w:tcW w:w="425" w:type="dxa"/>
          </w:tcPr>
          <w:p w14:paraId="2CC6C84D" w14:textId="77777777" w:rsidR="00E14099" w:rsidRPr="00BA1886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60FF0045" w14:textId="77777777" w:rsidR="00E14099" w:rsidRPr="00BA1886" w:rsidRDefault="00F87787" w:rsidP="002038E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</w:t>
            </w:r>
            <w:r w:rsidR="002038E7">
              <w:rPr>
                <w:rFonts w:ascii="Arial" w:hAnsi="Arial" w:cs="Arial"/>
                <w:sz w:val="28"/>
                <w:szCs w:val="28"/>
              </w:rPr>
              <w:t>3</w:t>
            </w:r>
            <w:r w:rsidRPr="00F87787">
              <w:rPr>
                <w:rFonts w:ascii="Arial" w:hAnsi="Arial" w:cs="Arial"/>
                <w:sz w:val="28"/>
                <w:szCs w:val="28"/>
              </w:rPr>
              <w:t>.1.0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</w:t>
            </w:r>
            <w:r w:rsidR="002038E7">
              <w:rPr>
                <w:rFonts w:ascii="Arial" w:hAnsi="Arial" w:cs="Arial"/>
                <w:sz w:val="28"/>
                <w:szCs w:val="28"/>
              </w:rPr>
              <w:t>rumusan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Kebijakan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Teknis di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Bidang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dan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Fasilitasi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</w:p>
        </w:tc>
      </w:tr>
      <w:tr w:rsidR="00E14099" w:rsidRPr="00BA1886" w14:paraId="4002650D" w14:textId="77777777" w:rsidTr="00391CCF">
        <w:tc>
          <w:tcPr>
            <w:tcW w:w="2830" w:type="dxa"/>
          </w:tcPr>
          <w:p w14:paraId="53A1B006" w14:textId="77777777" w:rsidR="00E14099" w:rsidRPr="00BA1886" w:rsidRDefault="00A726D1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Sub Kegiatan</w:t>
            </w:r>
          </w:p>
        </w:tc>
        <w:tc>
          <w:tcPr>
            <w:tcW w:w="425" w:type="dxa"/>
          </w:tcPr>
          <w:p w14:paraId="7CEAB76F" w14:textId="77777777" w:rsidR="00E14099" w:rsidRPr="00BA1886" w:rsidRDefault="00A726D1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538C14AF" w14:textId="77777777" w:rsidR="00E14099" w:rsidRPr="00BA1886" w:rsidRDefault="00F87787" w:rsidP="00E75B0F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</w:t>
            </w:r>
            <w:r w:rsidR="002038E7">
              <w:rPr>
                <w:rFonts w:ascii="Arial" w:hAnsi="Arial" w:cs="Arial"/>
                <w:sz w:val="28"/>
                <w:szCs w:val="28"/>
              </w:rPr>
              <w:t>3</w:t>
            </w:r>
            <w:r w:rsidRPr="00F87787">
              <w:rPr>
                <w:rFonts w:ascii="Arial" w:hAnsi="Arial" w:cs="Arial"/>
                <w:sz w:val="28"/>
                <w:szCs w:val="28"/>
              </w:rPr>
              <w:t>.1.0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>.0</w:t>
            </w:r>
            <w:r w:rsidR="005C08DB">
              <w:rPr>
                <w:rFonts w:ascii="Arial" w:hAnsi="Arial" w:cs="Arial"/>
                <w:sz w:val="28"/>
                <w:szCs w:val="28"/>
              </w:rPr>
              <w:t>00</w:t>
            </w:r>
            <w:r w:rsidR="00E75B0F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>
              <w:rPr>
                <w:rFonts w:ascii="Arial" w:hAnsi="Arial" w:cs="Arial"/>
                <w:sz w:val="28"/>
                <w:szCs w:val="28"/>
              </w:rPr>
              <w:t>P</w:t>
            </w:r>
            <w:r w:rsidR="00E14099" w:rsidRPr="00F81B9E">
              <w:rPr>
                <w:rFonts w:ascii="Arial" w:hAnsi="Arial" w:cs="Arial"/>
                <w:sz w:val="28"/>
                <w:szCs w:val="28"/>
              </w:rPr>
              <w:t>e</w:t>
            </w:r>
            <w:r w:rsidR="002038E7">
              <w:rPr>
                <w:rFonts w:ascii="Arial" w:hAnsi="Arial" w:cs="Arial"/>
                <w:sz w:val="28"/>
                <w:szCs w:val="28"/>
              </w:rPr>
              <w:t>rumusan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Kebijakan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Teknis di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Bidang</w:t>
            </w:r>
            <w:proofErr w:type="spellEnd"/>
            <w:r w:rsidR="00E75B0F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75B0F">
              <w:rPr>
                <w:rFonts w:ascii="Arial" w:hAnsi="Arial" w:cs="Arial"/>
                <w:sz w:val="28"/>
                <w:szCs w:val="28"/>
              </w:rPr>
              <w:t>Fasilitasi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</w:p>
        </w:tc>
      </w:tr>
      <w:tr w:rsidR="009E7C6A" w:rsidRPr="00BA1886" w14:paraId="1C026F66" w14:textId="77777777" w:rsidTr="00391CCF">
        <w:tc>
          <w:tcPr>
            <w:tcW w:w="2830" w:type="dxa"/>
          </w:tcPr>
          <w:p w14:paraId="36EB77A5" w14:textId="77777777" w:rsidR="009E7C6A" w:rsidRPr="00BA1886" w:rsidRDefault="009E7C6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Pagu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A1886"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0259B935" w14:textId="77777777" w:rsidR="009E7C6A" w:rsidRPr="00BA1886" w:rsidRDefault="009E7C6A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4722C593" w14:textId="286F35D4" w:rsidR="009E7C6A" w:rsidRPr="00BA1886" w:rsidRDefault="009E7C6A" w:rsidP="00E75B0F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Rp. </w:t>
            </w:r>
            <w:proofErr w:type="gramStart"/>
            <w:r w:rsidR="000769D2">
              <w:rPr>
                <w:rFonts w:ascii="Arial" w:hAnsi="Arial" w:cs="Arial"/>
                <w:sz w:val="28"/>
                <w:szCs w:val="28"/>
              </w:rPr>
              <w:t>168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E75B0F">
              <w:rPr>
                <w:rFonts w:ascii="Arial" w:hAnsi="Arial" w:cs="Arial"/>
                <w:sz w:val="28"/>
                <w:szCs w:val="28"/>
              </w:rPr>
              <w:t>1</w:t>
            </w:r>
            <w:r w:rsidR="000769D2">
              <w:rPr>
                <w:rFonts w:ascii="Arial" w:hAnsi="Arial" w:cs="Arial"/>
                <w:sz w:val="28"/>
                <w:szCs w:val="28"/>
              </w:rPr>
              <w:t>84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0769D2">
              <w:rPr>
                <w:rFonts w:ascii="Arial" w:hAnsi="Arial" w:cs="Arial"/>
                <w:sz w:val="28"/>
                <w:szCs w:val="28"/>
              </w:rPr>
              <w:t>8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00</w:t>
            </w:r>
            <w:r w:rsidR="00E675C9">
              <w:rPr>
                <w:rFonts w:ascii="Arial" w:hAnsi="Arial" w:cs="Arial"/>
                <w:sz w:val="28"/>
                <w:szCs w:val="28"/>
              </w:rPr>
              <w:t>,-</w:t>
            </w:r>
            <w:proofErr w:type="gramEnd"/>
          </w:p>
        </w:tc>
      </w:tr>
      <w:tr w:rsidR="003C11F5" w:rsidRPr="00BA1886" w14:paraId="29AEBB8B" w14:textId="77777777" w:rsidTr="00391CCF">
        <w:tc>
          <w:tcPr>
            <w:tcW w:w="2830" w:type="dxa"/>
          </w:tcPr>
          <w:p w14:paraId="2478621D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Lokasi Kegiatan</w:t>
            </w:r>
          </w:p>
        </w:tc>
        <w:tc>
          <w:tcPr>
            <w:tcW w:w="425" w:type="dxa"/>
          </w:tcPr>
          <w:p w14:paraId="3958C602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1DB0FB8B" w14:textId="77777777" w:rsidR="003C11F5" w:rsidRPr="00BA1886" w:rsidRDefault="001565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Provinsi </w:t>
            </w:r>
            <w:r w:rsidR="003C11F5">
              <w:rPr>
                <w:rFonts w:ascii="Arial" w:hAnsi="Arial" w:cs="Arial"/>
                <w:sz w:val="28"/>
                <w:szCs w:val="28"/>
              </w:rPr>
              <w:t>Sumatera Barat</w:t>
            </w:r>
          </w:p>
        </w:tc>
      </w:tr>
      <w:tr w:rsidR="003C11F5" w:rsidRPr="00BA1886" w14:paraId="3B89307E" w14:textId="77777777" w:rsidTr="00391CCF">
        <w:tc>
          <w:tcPr>
            <w:tcW w:w="2830" w:type="dxa"/>
          </w:tcPr>
          <w:p w14:paraId="2F5D983E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Pelaksanaan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34A646B6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69F372D4" w14:textId="77777777" w:rsidR="003C11F5" w:rsidRDefault="00402F3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Januari  –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Desember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3C11F5" w:rsidRPr="00BA1886" w14:paraId="2101B0B2" w14:textId="77777777" w:rsidTr="00391CCF">
        <w:tc>
          <w:tcPr>
            <w:tcW w:w="2830" w:type="dxa"/>
          </w:tcPr>
          <w:p w14:paraId="191626D2" w14:textId="77777777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Tahun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01DBFFFD" w14:textId="77777777" w:rsidR="003C11F5" w:rsidRPr="00BA1886" w:rsidRDefault="00EF34C7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6FF83B23" w14:textId="305F5E0E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0769D2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C11F5" w:rsidRPr="00BA1886" w14:paraId="679C77A8" w14:textId="77777777" w:rsidTr="00391CCF">
        <w:tc>
          <w:tcPr>
            <w:tcW w:w="2830" w:type="dxa"/>
          </w:tcPr>
          <w:p w14:paraId="58E45456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4A843F82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4E853704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5AD96FCB" w14:textId="77777777" w:rsidTr="00391CCF">
        <w:tc>
          <w:tcPr>
            <w:tcW w:w="2830" w:type="dxa"/>
          </w:tcPr>
          <w:p w14:paraId="78A754C0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466B3918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1A7A2490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77B72421" w14:textId="77777777" w:rsidTr="00391CCF">
        <w:tc>
          <w:tcPr>
            <w:tcW w:w="2830" w:type="dxa"/>
          </w:tcPr>
          <w:p w14:paraId="62A2A386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14683149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7C377CAE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7F20F2F" w14:textId="77777777" w:rsidR="00837F55" w:rsidRDefault="00837F55" w:rsidP="003346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2C3D4808" w14:textId="77777777" w:rsidR="007D5E2A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6011919" w14:textId="77777777" w:rsidR="007E172E" w:rsidRPr="00355075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K</w:t>
      </w:r>
      <w:r w:rsidR="00AD66B1" w:rsidRPr="00355075">
        <w:rPr>
          <w:rFonts w:ascii="Arial" w:hAnsi="Arial" w:cs="Arial"/>
          <w:b/>
          <w:sz w:val="24"/>
          <w:szCs w:val="24"/>
        </w:rPr>
        <w:t>erangka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Acuan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Kerja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(KAK) </w:t>
      </w:r>
    </w:p>
    <w:p w14:paraId="332CA4C8" w14:textId="7E87E362" w:rsidR="00AD66B1" w:rsidRPr="00355075" w:rsidRDefault="009167D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Pe</w:t>
      </w:r>
      <w:r w:rsidR="008A7755">
        <w:rPr>
          <w:rFonts w:ascii="Arial" w:hAnsi="Arial" w:cs="Arial"/>
          <w:b/>
          <w:sz w:val="24"/>
          <w:szCs w:val="24"/>
        </w:rPr>
        <w:t>rumusan</w:t>
      </w:r>
      <w:proofErr w:type="spellEnd"/>
      <w:r w:rsidR="008A775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8A7755">
        <w:rPr>
          <w:rFonts w:ascii="Arial" w:hAnsi="Arial" w:cs="Arial"/>
          <w:b/>
          <w:sz w:val="24"/>
          <w:szCs w:val="24"/>
        </w:rPr>
        <w:t>Kebijakan</w:t>
      </w:r>
      <w:proofErr w:type="spellEnd"/>
      <w:r w:rsidR="008A7755">
        <w:rPr>
          <w:rFonts w:ascii="Arial" w:hAnsi="Arial" w:cs="Arial"/>
          <w:b/>
          <w:sz w:val="24"/>
          <w:szCs w:val="24"/>
        </w:rPr>
        <w:t xml:space="preserve"> Teknis di </w:t>
      </w:r>
      <w:proofErr w:type="spellStart"/>
      <w:r w:rsidR="008A7755">
        <w:rPr>
          <w:rFonts w:ascii="Arial" w:hAnsi="Arial" w:cs="Arial"/>
          <w:b/>
          <w:sz w:val="24"/>
          <w:szCs w:val="24"/>
        </w:rPr>
        <w:t>Bidang</w:t>
      </w:r>
      <w:proofErr w:type="spellEnd"/>
      <w:r w:rsidR="008A775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8A7755">
        <w:rPr>
          <w:rFonts w:ascii="Arial" w:hAnsi="Arial" w:cs="Arial"/>
          <w:b/>
          <w:sz w:val="24"/>
          <w:szCs w:val="24"/>
        </w:rPr>
        <w:t>Fasilitasi</w:t>
      </w:r>
      <w:proofErr w:type="spellEnd"/>
      <w:r w:rsidR="008A775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8A7755">
        <w:rPr>
          <w:rFonts w:ascii="Arial" w:hAnsi="Arial" w:cs="Arial"/>
          <w:b/>
          <w:sz w:val="24"/>
          <w:szCs w:val="24"/>
        </w:rPr>
        <w:t>Pengawasan</w:t>
      </w:r>
      <w:proofErr w:type="spellEnd"/>
      <w:r w:rsidR="00C84571" w:rsidRPr="00C8457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84571">
        <w:rPr>
          <w:rFonts w:ascii="Arial" w:hAnsi="Arial" w:cs="Arial"/>
          <w:b/>
          <w:sz w:val="24"/>
          <w:szCs w:val="24"/>
        </w:rPr>
        <w:t>Tahun</w:t>
      </w:r>
      <w:proofErr w:type="spellEnd"/>
      <w:r w:rsidR="00C84571">
        <w:rPr>
          <w:rFonts w:ascii="Arial" w:hAnsi="Arial" w:cs="Arial"/>
          <w:b/>
          <w:sz w:val="24"/>
          <w:szCs w:val="24"/>
        </w:rPr>
        <w:t xml:space="preserve"> 202</w:t>
      </w:r>
      <w:r w:rsidR="000769D2">
        <w:rPr>
          <w:rFonts w:ascii="Arial" w:hAnsi="Arial" w:cs="Arial"/>
          <w:b/>
          <w:sz w:val="24"/>
          <w:szCs w:val="24"/>
        </w:rPr>
        <w:t>5</w:t>
      </w:r>
    </w:p>
    <w:p w14:paraId="52BA582F" w14:textId="77777777" w:rsidR="00AD66B1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1"/>
        <w:gridCol w:w="6655"/>
      </w:tblGrid>
      <w:tr w:rsidR="00355075" w:rsidRPr="00355075" w14:paraId="2F1E65E8" w14:textId="77777777" w:rsidTr="00F32B8E">
        <w:tc>
          <w:tcPr>
            <w:tcW w:w="2518" w:type="dxa"/>
          </w:tcPr>
          <w:p w14:paraId="51D5E082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1512C87A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0CA19D5B" w14:textId="77777777" w:rsidR="00355075" w:rsidRPr="00355075" w:rsidRDefault="00E75B0F" w:rsidP="001461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Perumusan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Kebijakan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Teknis di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Bidang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dengan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maksud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mensingkronkan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program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kerja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supaya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tidak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terjadi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overlapping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pemeriksaan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baik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itu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ditingkat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pusat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maupun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tingkat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75B0F">
              <w:rPr>
                <w:rFonts w:ascii="Arial" w:hAnsi="Arial" w:cs="Arial"/>
                <w:sz w:val="24"/>
                <w:szCs w:val="24"/>
              </w:rPr>
              <w:t>daerah</w:t>
            </w:r>
            <w:proofErr w:type="spellEnd"/>
            <w:r w:rsidRPr="00E75B0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2378B" w:rsidRPr="00355075" w14:paraId="1197EEEA" w14:textId="77777777" w:rsidTr="00F32B8E">
        <w:tc>
          <w:tcPr>
            <w:tcW w:w="2518" w:type="dxa"/>
          </w:tcPr>
          <w:p w14:paraId="3C383173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52CDDD25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3EA9C283" w14:textId="77777777" w:rsidR="00D2378B" w:rsidRDefault="00D2378B" w:rsidP="002038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4"/>
                <w:szCs w:val="24"/>
              </w:rPr>
              <w:t>kebijakan</w:t>
            </w:r>
            <w:proofErr w:type="spellEnd"/>
            <w:r w:rsidR="002038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4"/>
                <w:szCs w:val="24"/>
              </w:rPr>
              <w:t>teknis</w:t>
            </w:r>
            <w:proofErr w:type="spellEnd"/>
            <w:r w:rsidR="002038E7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2038E7">
              <w:rPr>
                <w:rFonts w:ascii="Arial" w:hAnsi="Arial" w:cs="Arial"/>
                <w:sz w:val="24"/>
                <w:szCs w:val="24"/>
              </w:rPr>
              <w:t>ditetapkan</w:t>
            </w:r>
            <w:proofErr w:type="spellEnd"/>
          </w:p>
        </w:tc>
      </w:tr>
      <w:tr w:rsidR="001E0D01" w:rsidRPr="00355075" w14:paraId="1539BE67" w14:textId="77777777" w:rsidTr="00F32B8E">
        <w:tc>
          <w:tcPr>
            <w:tcW w:w="2518" w:type="dxa"/>
          </w:tcPr>
          <w:p w14:paraId="0CB539E3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1F7A79C1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389DB51C" w14:textId="77777777" w:rsidR="001E0D01" w:rsidRPr="00355075" w:rsidRDefault="002038E7" w:rsidP="002038E7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Rekomendasi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kebijakan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teknis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75B0F">
              <w:rPr>
                <w:rFonts w:ascii="Arial" w:hAnsi="Arial" w:cs="Arial"/>
                <w:sz w:val="24"/>
                <w:szCs w:val="24"/>
              </w:rPr>
              <w:t>fasilitasi</w:t>
            </w:r>
            <w:proofErr w:type="spellEnd"/>
            <w:r w:rsidR="00E75B0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disusun</w:t>
            </w:r>
            <w:proofErr w:type="spellEnd"/>
          </w:p>
        </w:tc>
      </w:tr>
      <w:tr w:rsidR="001E0D01" w:rsidRPr="00355075" w14:paraId="135CD632" w14:textId="77777777" w:rsidTr="00F32B8E">
        <w:tc>
          <w:tcPr>
            <w:tcW w:w="2518" w:type="dxa"/>
          </w:tcPr>
          <w:p w14:paraId="634A36FA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Hasil </w:t>
            </w:r>
          </w:p>
        </w:tc>
        <w:tc>
          <w:tcPr>
            <w:tcW w:w="291" w:type="dxa"/>
          </w:tcPr>
          <w:p w14:paraId="312C128D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02D07D20" w14:textId="77777777" w:rsidR="001E0D01" w:rsidRPr="00355075" w:rsidRDefault="001E0D01" w:rsidP="002038E7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4"/>
                <w:szCs w:val="24"/>
              </w:rPr>
              <w:t>kebijakan</w:t>
            </w:r>
            <w:proofErr w:type="spellEnd"/>
            <w:r w:rsidR="002038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4"/>
                <w:szCs w:val="24"/>
              </w:rPr>
              <w:t>teknis</w:t>
            </w:r>
            <w:proofErr w:type="spellEnd"/>
            <w:r w:rsidR="002038E7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2038E7">
              <w:rPr>
                <w:rFonts w:ascii="Arial" w:hAnsi="Arial" w:cs="Arial"/>
                <w:sz w:val="24"/>
                <w:szCs w:val="24"/>
              </w:rPr>
              <w:t>ditetapkan</w:t>
            </w:r>
            <w:proofErr w:type="spellEnd"/>
          </w:p>
        </w:tc>
      </w:tr>
      <w:tr w:rsidR="001E0D01" w:rsidRPr="00355075" w14:paraId="5F1B0D09" w14:textId="77777777" w:rsidTr="00F32B8E">
        <w:tc>
          <w:tcPr>
            <w:tcW w:w="2518" w:type="dxa"/>
          </w:tcPr>
          <w:p w14:paraId="6B91FE07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Pagu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5ACB366C" w14:textId="77777777" w:rsidR="001E0D01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6655" w:type="dxa"/>
          </w:tcPr>
          <w:p w14:paraId="40F3AC05" w14:textId="64ED4FB8" w:rsidR="001E0D01" w:rsidRPr="00355075" w:rsidRDefault="001E0D01" w:rsidP="00E75B0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3417">
              <w:rPr>
                <w:rFonts w:ascii="Arial" w:hAnsi="Arial" w:cs="Arial"/>
                <w:sz w:val="24"/>
                <w:szCs w:val="24"/>
              </w:rPr>
              <w:t xml:space="preserve">Rp. </w:t>
            </w:r>
            <w:proofErr w:type="gramStart"/>
            <w:r w:rsidR="000769D2">
              <w:rPr>
                <w:rFonts w:ascii="Arial" w:hAnsi="Arial" w:cs="Arial"/>
                <w:sz w:val="24"/>
                <w:szCs w:val="24"/>
              </w:rPr>
              <w:t>168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E75B0F">
              <w:rPr>
                <w:rFonts w:ascii="Arial" w:hAnsi="Arial" w:cs="Arial"/>
                <w:sz w:val="24"/>
                <w:szCs w:val="24"/>
              </w:rPr>
              <w:t>1</w:t>
            </w:r>
            <w:r w:rsidR="000769D2">
              <w:rPr>
                <w:rFonts w:ascii="Arial" w:hAnsi="Arial" w:cs="Arial"/>
                <w:sz w:val="24"/>
                <w:szCs w:val="24"/>
              </w:rPr>
              <w:t>84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0769D2">
              <w:rPr>
                <w:rFonts w:ascii="Arial" w:hAnsi="Arial" w:cs="Arial"/>
                <w:sz w:val="24"/>
                <w:szCs w:val="24"/>
              </w:rPr>
              <w:t>8</w:t>
            </w:r>
            <w:r w:rsidRPr="005D3417">
              <w:rPr>
                <w:rFonts w:ascii="Arial" w:hAnsi="Arial" w:cs="Arial"/>
                <w:sz w:val="24"/>
                <w:szCs w:val="24"/>
              </w:rPr>
              <w:t>00,-</w:t>
            </w:r>
            <w:proofErr w:type="gramEnd"/>
          </w:p>
        </w:tc>
      </w:tr>
      <w:tr w:rsidR="009E01D3" w:rsidRPr="00355075" w14:paraId="79E6D56B" w14:textId="77777777" w:rsidTr="00F32B8E">
        <w:tc>
          <w:tcPr>
            <w:tcW w:w="2518" w:type="dxa"/>
          </w:tcPr>
          <w:p w14:paraId="2BD00E94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91" w:type="dxa"/>
          </w:tcPr>
          <w:p w14:paraId="67CC045A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18CFE091" w14:textId="5BD4CAA0" w:rsidR="009E01D3" w:rsidRPr="005D3417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Januari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0769D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2796534C" w14:textId="77777777" w:rsidR="00CD43F6" w:rsidRDefault="00CD43F6" w:rsidP="003346F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4D0653F7" w14:textId="77777777" w:rsidR="005651B8" w:rsidRPr="00D57D50" w:rsidRDefault="00FA0F91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57D50">
        <w:rPr>
          <w:rFonts w:ascii="Arial" w:hAnsi="Arial" w:cs="Arial"/>
          <w:b/>
          <w:sz w:val="24"/>
          <w:szCs w:val="24"/>
        </w:rPr>
        <w:t>Latar Belakang :</w:t>
      </w:r>
    </w:p>
    <w:p w14:paraId="06CFFDE8" w14:textId="77777777" w:rsidR="00146158" w:rsidRDefault="00E75B0F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E75B0F">
        <w:rPr>
          <w:rFonts w:ascii="Arial" w:hAnsi="Arial" w:cs="Arial"/>
          <w:sz w:val="24"/>
          <w:szCs w:val="24"/>
        </w:rPr>
        <w:t>Berdasarkan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PP </w:t>
      </w:r>
      <w:proofErr w:type="spellStart"/>
      <w:r w:rsidRPr="00E75B0F">
        <w:rPr>
          <w:rFonts w:ascii="Arial" w:hAnsi="Arial" w:cs="Arial"/>
          <w:sz w:val="24"/>
          <w:szCs w:val="24"/>
        </w:rPr>
        <w:t>Nomor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12 </w:t>
      </w:r>
      <w:proofErr w:type="spellStart"/>
      <w:r w:rsidRPr="00E75B0F">
        <w:rPr>
          <w:rFonts w:ascii="Arial" w:hAnsi="Arial" w:cs="Arial"/>
          <w:sz w:val="24"/>
          <w:szCs w:val="24"/>
        </w:rPr>
        <w:t>Tahun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2017 </w:t>
      </w:r>
      <w:proofErr w:type="spellStart"/>
      <w:r w:rsidRPr="00E75B0F">
        <w:rPr>
          <w:rFonts w:ascii="Arial" w:hAnsi="Arial" w:cs="Arial"/>
          <w:sz w:val="24"/>
          <w:szCs w:val="24"/>
        </w:rPr>
        <w:t>tentang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Pembinaan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E75B0F">
        <w:rPr>
          <w:rFonts w:ascii="Arial" w:hAnsi="Arial" w:cs="Arial"/>
          <w:sz w:val="24"/>
          <w:szCs w:val="24"/>
        </w:rPr>
        <w:t>Pengawasan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Penyelenggaraan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Pemerintahan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Daerah, </w:t>
      </w:r>
      <w:proofErr w:type="spellStart"/>
      <w:r w:rsidRPr="00E75B0F">
        <w:rPr>
          <w:rFonts w:ascii="Arial" w:hAnsi="Arial" w:cs="Arial"/>
          <w:sz w:val="24"/>
          <w:szCs w:val="24"/>
        </w:rPr>
        <w:t>Pembinaan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Penyelenggaraan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Pemerintahan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Daerah yang </w:t>
      </w:r>
      <w:proofErr w:type="spellStart"/>
      <w:r w:rsidRPr="00E75B0F">
        <w:rPr>
          <w:rFonts w:ascii="Arial" w:hAnsi="Arial" w:cs="Arial"/>
          <w:sz w:val="24"/>
          <w:szCs w:val="24"/>
        </w:rPr>
        <w:t>mengamanatkan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Menteri Dalam Negeri untuk </w:t>
      </w:r>
      <w:proofErr w:type="spellStart"/>
      <w:r w:rsidRPr="00E75B0F">
        <w:rPr>
          <w:rFonts w:ascii="Arial" w:hAnsi="Arial" w:cs="Arial"/>
          <w:sz w:val="24"/>
          <w:szCs w:val="24"/>
        </w:rPr>
        <w:t>menetapkan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perencanaan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pembinaan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E75B0F">
        <w:rPr>
          <w:rFonts w:ascii="Arial" w:hAnsi="Arial" w:cs="Arial"/>
          <w:sz w:val="24"/>
          <w:szCs w:val="24"/>
        </w:rPr>
        <w:t>pengawasan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penyelenggaraan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pemerintahan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daerah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tahunan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, dalam </w:t>
      </w:r>
      <w:proofErr w:type="spellStart"/>
      <w:r w:rsidRPr="00E75B0F">
        <w:rPr>
          <w:rFonts w:ascii="Arial" w:hAnsi="Arial" w:cs="Arial"/>
          <w:sz w:val="24"/>
          <w:szCs w:val="24"/>
        </w:rPr>
        <w:t>Peraturan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Menteri Dalam Negeri Republik Indonesia </w:t>
      </w:r>
      <w:proofErr w:type="spellStart"/>
      <w:r w:rsidRPr="00E75B0F">
        <w:rPr>
          <w:rFonts w:ascii="Arial" w:hAnsi="Arial" w:cs="Arial"/>
          <w:sz w:val="24"/>
          <w:szCs w:val="24"/>
        </w:rPr>
        <w:t>Nomor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19</w:t>
      </w:r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Tahun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3</w:t>
      </w:r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tentang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perencanaan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pembinaan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E75B0F">
        <w:rPr>
          <w:rFonts w:ascii="Arial" w:hAnsi="Arial" w:cs="Arial"/>
          <w:sz w:val="24"/>
          <w:szCs w:val="24"/>
        </w:rPr>
        <w:t>pengawasan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penyelenggaraan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pemerintah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daerah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tahun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4</w:t>
      </w:r>
      <w:r w:rsidRPr="00E75B0F">
        <w:rPr>
          <w:rFonts w:ascii="Arial" w:hAnsi="Arial" w:cs="Arial"/>
          <w:sz w:val="24"/>
          <w:szCs w:val="24"/>
        </w:rPr>
        <w:t xml:space="preserve"> maka  Program </w:t>
      </w:r>
      <w:proofErr w:type="spellStart"/>
      <w:r w:rsidRPr="00E75B0F">
        <w:rPr>
          <w:rFonts w:ascii="Arial" w:hAnsi="Arial" w:cs="Arial"/>
          <w:sz w:val="24"/>
          <w:szCs w:val="24"/>
        </w:rPr>
        <w:t>Kerja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Pengawasan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Tahunan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E75B0F">
        <w:rPr>
          <w:rFonts w:ascii="Arial" w:hAnsi="Arial" w:cs="Arial"/>
          <w:sz w:val="24"/>
          <w:szCs w:val="24"/>
        </w:rPr>
        <w:t>koordinasikan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dengan </w:t>
      </w:r>
      <w:proofErr w:type="spellStart"/>
      <w:r w:rsidRPr="00E75B0F">
        <w:rPr>
          <w:rFonts w:ascii="Arial" w:hAnsi="Arial" w:cs="Arial"/>
          <w:sz w:val="24"/>
          <w:szCs w:val="24"/>
        </w:rPr>
        <w:t>Kabupaten</w:t>
      </w:r>
      <w:proofErr w:type="spellEnd"/>
      <w:r w:rsidRPr="00E75B0F">
        <w:rPr>
          <w:rFonts w:ascii="Arial" w:hAnsi="Arial" w:cs="Arial"/>
          <w:sz w:val="24"/>
          <w:szCs w:val="24"/>
        </w:rPr>
        <w:t>/Kota se-Sumatera Barat.</w:t>
      </w:r>
    </w:p>
    <w:p w14:paraId="58021770" w14:textId="77777777" w:rsidR="000769D2" w:rsidRDefault="000769D2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744C5238" w14:textId="77777777" w:rsidR="000830E0" w:rsidRPr="00136C46" w:rsidRDefault="005D58CF" w:rsidP="000769D2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136C46">
        <w:rPr>
          <w:rFonts w:ascii="Arial" w:hAnsi="Arial" w:cs="Arial"/>
          <w:b/>
          <w:sz w:val="24"/>
          <w:szCs w:val="24"/>
        </w:rPr>
        <w:t xml:space="preserve">Gambaran </w:t>
      </w:r>
      <w:proofErr w:type="gramStart"/>
      <w:r w:rsidRPr="00136C46">
        <w:rPr>
          <w:rFonts w:ascii="Arial" w:hAnsi="Arial" w:cs="Arial"/>
          <w:b/>
          <w:sz w:val="24"/>
          <w:szCs w:val="24"/>
        </w:rPr>
        <w:t>Umum :</w:t>
      </w:r>
      <w:proofErr w:type="gramEnd"/>
    </w:p>
    <w:p w14:paraId="2EFB1D3D" w14:textId="379E88BF" w:rsidR="00146158" w:rsidRPr="00146158" w:rsidRDefault="00146158" w:rsidP="000769D2">
      <w:pPr>
        <w:pStyle w:val="ListParagraph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234EAA" w:rsidRPr="00234EAA">
        <w:rPr>
          <w:rFonts w:ascii="Arial" w:hAnsi="Arial" w:cs="Arial"/>
          <w:sz w:val="24"/>
          <w:szCs w:val="24"/>
        </w:rPr>
        <w:t xml:space="preserve"> </w:t>
      </w:r>
      <w:r w:rsidR="000769D2">
        <w:rPr>
          <w:rFonts w:ascii="Arial" w:hAnsi="Arial" w:cs="Arial"/>
          <w:sz w:val="24"/>
          <w:szCs w:val="24"/>
        </w:rPr>
        <w:tab/>
      </w:r>
      <w:proofErr w:type="spellStart"/>
      <w:r w:rsidR="00234EAA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234EAA" w:rsidRPr="00DD73E1">
        <w:rPr>
          <w:rFonts w:ascii="Arial" w:hAnsi="Arial" w:cs="Arial"/>
          <w:sz w:val="24"/>
          <w:szCs w:val="24"/>
        </w:rPr>
        <w:t xml:space="preserve"> Daerah Provinsi Sumatera Barat </w:t>
      </w:r>
      <w:proofErr w:type="spellStart"/>
      <w:r w:rsidR="00234EAA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234EAA" w:rsidRPr="00DD73E1">
        <w:rPr>
          <w:rFonts w:ascii="Arial" w:hAnsi="Arial" w:cs="Arial"/>
          <w:sz w:val="24"/>
          <w:szCs w:val="24"/>
        </w:rPr>
        <w:t xml:space="preserve"> </w:t>
      </w:r>
      <w:r w:rsidR="00234EAA">
        <w:rPr>
          <w:rFonts w:ascii="Arial" w:hAnsi="Arial" w:cs="Arial"/>
          <w:sz w:val="24"/>
          <w:szCs w:val="24"/>
        </w:rPr>
        <w:t>2</w:t>
      </w:r>
      <w:r w:rsidR="00234EAA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4EAA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234EAA" w:rsidRPr="00DD73E1">
        <w:rPr>
          <w:rFonts w:ascii="Arial" w:hAnsi="Arial" w:cs="Arial"/>
          <w:sz w:val="24"/>
          <w:szCs w:val="24"/>
        </w:rPr>
        <w:t xml:space="preserve"> 20</w:t>
      </w:r>
      <w:r w:rsidR="00234EAA">
        <w:rPr>
          <w:rFonts w:ascii="Arial" w:hAnsi="Arial" w:cs="Arial"/>
          <w:sz w:val="24"/>
          <w:szCs w:val="24"/>
        </w:rPr>
        <w:t>21</w:t>
      </w:r>
      <w:r w:rsidR="00234EAA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4EAA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234EAA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4EAA" w:rsidRPr="00DD73E1">
        <w:rPr>
          <w:rFonts w:ascii="Arial" w:hAnsi="Arial" w:cs="Arial"/>
          <w:sz w:val="24"/>
          <w:szCs w:val="24"/>
        </w:rPr>
        <w:t>Perubahan</w:t>
      </w:r>
      <w:proofErr w:type="spellEnd"/>
      <w:r w:rsidR="00234EAA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4EAA">
        <w:rPr>
          <w:rFonts w:ascii="Arial" w:hAnsi="Arial" w:cs="Arial"/>
          <w:sz w:val="24"/>
          <w:szCs w:val="24"/>
        </w:rPr>
        <w:t>kedua</w:t>
      </w:r>
      <w:proofErr w:type="spellEnd"/>
      <w:r w:rsidR="00234EAA">
        <w:rPr>
          <w:rFonts w:ascii="Arial" w:hAnsi="Arial" w:cs="Arial"/>
          <w:sz w:val="24"/>
          <w:szCs w:val="24"/>
        </w:rPr>
        <w:t xml:space="preserve"> </w:t>
      </w:r>
      <w:r w:rsidR="00234EAA" w:rsidRPr="00DD73E1">
        <w:rPr>
          <w:rFonts w:ascii="Arial" w:hAnsi="Arial" w:cs="Arial"/>
          <w:sz w:val="24"/>
          <w:szCs w:val="24"/>
        </w:rPr>
        <w:t xml:space="preserve">atas </w:t>
      </w:r>
      <w:proofErr w:type="spellStart"/>
      <w:r w:rsidR="00234EAA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234EAA" w:rsidRPr="00DD73E1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234EAA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234EAA" w:rsidRPr="00DD73E1">
        <w:rPr>
          <w:rFonts w:ascii="Arial" w:hAnsi="Arial" w:cs="Arial"/>
          <w:sz w:val="24"/>
          <w:szCs w:val="24"/>
        </w:rPr>
        <w:t xml:space="preserve"> 8 </w:t>
      </w:r>
      <w:proofErr w:type="spellStart"/>
      <w:r w:rsidR="00234EAA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234EAA" w:rsidRPr="00DD73E1">
        <w:rPr>
          <w:rFonts w:ascii="Arial" w:hAnsi="Arial" w:cs="Arial"/>
          <w:sz w:val="24"/>
          <w:szCs w:val="24"/>
        </w:rPr>
        <w:t xml:space="preserve"> 2016 </w:t>
      </w:r>
      <w:proofErr w:type="spellStart"/>
      <w:r w:rsidR="00234EAA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234EAA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4EAA" w:rsidRPr="00DD73E1">
        <w:rPr>
          <w:rFonts w:ascii="Arial" w:hAnsi="Arial" w:cs="Arial"/>
          <w:sz w:val="24"/>
          <w:szCs w:val="24"/>
        </w:rPr>
        <w:t>Pembentukan</w:t>
      </w:r>
      <w:proofErr w:type="spellEnd"/>
      <w:r w:rsidR="00234EAA" w:rsidRPr="00DD73E1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234EAA" w:rsidRPr="00DD73E1">
        <w:rPr>
          <w:rFonts w:ascii="Arial" w:hAnsi="Arial" w:cs="Arial"/>
          <w:sz w:val="24"/>
          <w:szCs w:val="24"/>
        </w:rPr>
        <w:t>Susunan</w:t>
      </w:r>
      <w:proofErr w:type="spellEnd"/>
      <w:r w:rsidR="00234EAA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4EAA" w:rsidRPr="00DD73E1">
        <w:rPr>
          <w:rFonts w:ascii="Arial" w:hAnsi="Arial" w:cs="Arial"/>
          <w:sz w:val="24"/>
          <w:szCs w:val="24"/>
        </w:rPr>
        <w:t>Perangkat</w:t>
      </w:r>
      <w:proofErr w:type="spellEnd"/>
      <w:r w:rsidR="00234EAA" w:rsidRPr="00DD73E1">
        <w:rPr>
          <w:rFonts w:ascii="Arial" w:hAnsi="Arial" w:cs="Arial"/>
          <w:sz w:val="24"/>
          <w:szCs w:val="24"/>
        </w:rPr>
        <w:t xml:space="preserve"> Daerah Provinsi Sumatera Barat</w:t>
      </w:r>
      <w:r w:rsidRPr="00146158">
        <w:rPr>
          <w:rFonts w:ascii="Arial" w:hAnsi="Arial" w:cs="Arial"/>
          <w:sz w:val="24"/>
          <w:szCs w:val="24"/>
        </w:rPr>
        <w:t>.</w:t>
      </w:r>
    </w:p>
    <w:p w14:paraId="729D8067" w14:textId="57F0C953" w:rsidR="00146158" w:rsidRPr="00146158" w:rsidRDefault="00146158" w:rsidP="000769D2">
      <w:pPr>
        <w:pStyle w:val="ListParagraph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</w:t>
      </w:r>
      <w:r w:rsidR="00234EAA">
        <w:rPr>
          <w:rFonts w:ascii="Arial" w:hAnsi="Arial" w:cs="Arial"/>
          <w:sz w:val="24"/>
          <w:szCs w:val="24"/>
        </w:rPr>
        <w:t xml:space="preserve"> </w:t>
      </w:r>
      <w:r w:rsidR="000769D2">
        <w:rPr>
          <w:rFonts w:ascii="Arial" w:hAnsi="Arial" w:cs="Arial"/>
          <w:sz w:val="24"/>
          <w:szCs w:val="24"/>
        </w:rPr>
        <w:tab/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70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Uraian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Pokok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Inspektorat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Provinsi Sumatera Barat</w:t>
      </w:r>
    </w:p>
    <w:p w14:paraId="1F53E80E" w14:textId="4B6848FF" w:rsidR="00146158" w:rsidRDefault="00146158" w:rsidP="000769D2">
      <w:pPr>
        <w:pStyle w:val="ListParagraph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234EAA">
        <w:rPr>
          <w:rFonts w:ascii="Arial" w:hAnsi="Arial" w:cs="Arial"/>
          <w:sz w:val="24"/>
          <w:szCs w:val="24"/>
        </w:rPr>
        <w:t xml:space="preserve"> </w:t>
      </w:r>
      <w:r w:rsidR="000769D2">
        <w:rPr>
          <w:rFonts w:ascii="Arial" w:hAnsi="Arial" w:cs="Arial"/>
          <w:sz w:val="24"/>
          <w:szCs w:val="24"/>
        </w:rPr>
        <w:tab/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r w:rsidR="00234EAA">
        <w:rPr>
          <w:rFonts w:ascii="Arial" w:hAnsi="Arial" w:cs="Arial"/>
          <w:sz w:val="24"/>
          <w:szCs w:val="24"/>
        </w:rPr>
        <w:t>2</w:t>
      </w:r>
      <w:r w:rsidRPr="00146158">
        <w:rPr>
          <w:rFonts w:ascii="Arial" w:hAnsi="Arial" w:cs="Arial"/>
          <w:sz w:val="24"/>
          <w:szCs w:val="24"/>
        </w:rPr>
        <w:t xml:space="preserve">9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</w:t>
      </w:r>
      <w:r w:rsidR="00234EAA">
        <w:rPr>
          <w:rFonts w:ascii="Arial" w:hAnsi="Arial" w:cs="Arial"/>
          <w:sz w:val="24"/>
          <w:szCs w:val="24"/>
        </w:rPr>
        <w:t>3</w:t>
      </w:r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Kedudukan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Susunan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Organisasi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Tata </w:t>
      </w:r>
      <w:proofErr w:type="spellStart"/>
      <w:r w:rsidRPr="00146158">
        <w:rPr>
          <w:rFonts w:ascii="Arial" w:hAnsi="Arial" w:cs="Arial"/>
          <w:sz w:val="24"/>
          <w:szCs w:val="24"/>
        </w:rPr>
        <w:t>Kerja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</w:t>
      </w:r>
      <w:r>
        <w:rPr>
          <w:rFonts w:ascii="Arial" w:hAnsi="Arial" w:cs="Arial"/>
          <w:sz w:val="24"/>
          <w:szCs w:val="24"/>
        </w:rPr>
        <w:t>.</w:t>
      </w:r>
    </w:p>
    <w:p w14:paraId="7C8D010C" w14:textId="77777777" w:rsidR="000769D2" w:rsidRDefault="000769D2" w:rsidP="000769D2">
      <w:pPr>
        <w:pStyle w:val="ListParagraph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</w:p>
    <w:p w14:paraId="70FA25A5" w14:textId="77777777" w:rsidR="00AC6D60" w:rsidRPr="00B33C5B" w:rsidRDefault="00EA11EA" w:rsidP="000769D2">
      <w:pPr>
        <w:pStyle w:val="ListParagraph"/>
        <w:spacing w:after="0" w:line="360" w:lineRule="auto"/>
        <w:ind w:hanging="294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Maksud dan Tujuan </w:t>
      </w:r>
    </w:p>
    <w:p w14:paraId="09835129" w14:textId="5D5BEBCD" w:rsidR="002038E7" w:rsidRDefault="00CB51BE" w:rsidP="000769D2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Maksud </w:t>
      </w:r>
      <w:r w:rsidR="000830E0">
        <w:rPr>
          <w:rFonts w:ascii="Arial" w:hAnsi="Arial" w:cs="Arial"/>
          <w:sz w:val="24"/>
          <w:szCs w:val="24"/>
        </w:rPr>
        <w:t xml:space="preserve">dan tujuan </w:t>
      </w:r>
      <w:proofErr w:type="spellStart"/>
      <w:r w:rsidR="000830E0">
        <w:rPr>
          <w:rFonts w:ascii="Arial" w:hAnsi="Arial" w:cs="Arial"/>
          <w:sz w:val="24"/>
          <w:szCs w:val="24"/>
        </w:rPr>
        <w:t>dari</w:t>
      </w:r>
      <w:proofErr w:type="spellEnd"/>
      <w:r w:rsidR="000830E0">
        <w:rPr>
          <w:rFonts w:ascii="Arial" w:hAnsi="Arial" w:cs="Arial"/>
          <w:sz w:val="24"/>
          <w:szCs w:val="24"/>
        </w:rPr>
        <w:t xml:space="preserve"> kegiatan ini adalah</w:t>
      </w:r>
      <w:r w:rsidR="000769D2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E75B0F" w:rsidRPr="00E75B0F">
        <w:rPr>
          <w:rFonts w:ascii="Arial" w:hAnsi="Arial" w:cs="Arial"/>
          <w:sz w:val="24"/>
          <w:szCs w:val="24"/>
        </w:rPr>
        <w:t>Mensinkronkan</w:t>
      </w:r>
      <w:proofErr w:type="spellEnd"/>
      <w:r w:rsidR="00E75B0F" w:rsidRPr="00E75B0F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E75B0F" w:rsidRPr="00E75B0F">
        <w:rPr>
          <w:rFonts w:ascii="Arial" w:hAnsi="Arial" w:cs="Arial"/>
          <w:sz w:val="24"/>
          <w:szCs w:val="24"/>
        </w:rPr>
        <w:t>mensinergikan</w:t>
      </w:r>
      <w:proofErr w:type="spellEnd"/>
      <w:r w:rsidR="00E75B0F" w:rsidRPr="00E75B0F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="00E75B0F" w:rsidRPr="00E75B0F">
        <w:rPr>
          <w:rFonts w:ascii="Arial" w:hAnsi="Arial" w:cs="Arial"/>
          <w:sz w:val="24"/>
          <w:szCs w:val="24"/>
        </w:rPr>
        <w:t>kerja</w:t>
      </w:r>
      <w:proofErr w:type="spellEnd"/>
      <w:r w:rsidR="00E75B0F"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B0F" w:rsidRPr="00E75B0F">
        <w:rPr>
          <w:rFonts w:ascii="Arial" w:hAnsi="Arial" w:cs="Arial"/>
          <w:sz w:val="24"/>
          <w:szCs w:val="24"/>
        </w:rPr>
        <w:t>pengawasan</w:t>
      </w:r>
      <w:proofErr w:type="spellEnd"/>
      <w:r w:rsidR="00E75B0F" w:rsidRPr="00E75B0F">
        <w:rPr>
          <w:rFonts w:ascii="Arial" w:hAnsi="Arial" w:cs="Arial"/>
          <w:sz w:val="24"/>
          <w:szCs w:val="24"/>
        </w:rPr>
        <w:t xml:space="preserve"> di Tingkat Pusat dan di </w:t>
      </w:r>
      <w:proofErr w:type="spellStart"/>
      <w:r w:rsidR="00E75B0F" w:rsidRPr="00E75B0F">
        <w:rPr>
          <w:rFonts w:ascii="Arial" w:hAnsi="Arial" w:cs="Arial"/>
          <w:sz w:val="24"/>
          <w:szCs w:val="24"/>
        </w:rPr>
        <w:t>Kabupaten</w:t>
      </w:r>
      <w:proofErr w:type="spellEnd"/>
      <w:r w:rsidR="00E75B0F" w:rsidRPr="00E75B0F">
        <w:rPr>
          <w:rFonts w:ascii="Arial" w:hAnsi="Arial" w:cs="Arial"/>
          <w:sz w:val="24"/>
          <w:szCs w:val="24"/>
        </w:rPr>
        <w:t>/Kota.</w:t>
      </w:r>
    </w:p>
    <w:p w14:paraId="5D5CEDE2" w14:textId="77777777" w:rsidR="000769D2" w:rsidRPr="002038E7" w:rsidRDefault="000769D2" w:rsidP="000769D2">
      <w:pPr>
        <w:pStyle w:val="ListParagraph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0DCD5063" w14:textId="77777777" w:rsidR="004D409C" w:rsidRPr="00B33C5B" w:rsidRDefault="004D409C" w:rsidP="000769D2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Ruang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Lingkup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>Pekerjaan :</w:t>
      </w:r>
      <w:proofErr w:type="gramEnd"/>
    </w:p>
    <w:p w14:paraId="1891AC2D" w14:textId="77777777" w:rsidR="00E75B0F" w:rsidRDefault="00E75B0F" w:rsidP="00E75B0F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75B0F">
        <w:rPr>
          <w:rFonts w:ascii="Arial" w:hAnsi="Arial" w:cs="Arial"/>
          <w:sz w:val="24"/>
          <w:szCs w:val="24"/>
        </w:rPr>
        <w:t xml:space="preserve">Kegiatan rapat-rapat </w:t>
      </w:r>
      <w:proofErr w:type="gramStart"/>
      <w:r w:rsidRPr="00E75B0F">
        <w:rPr>
          <w:rFonts w:ascii="Arial" w:hAnsi="Arial" w:cs="Arial"/>
          <w:sz w:val="24"/>
          <w:szCs w:val="24"/>
        </w:rPr>
        <w:t xml:space="preserve">dalam  </w:t>
      </w:r>
      <w:proofErr w:type="spellStart"/>
      <w:r w:rsidRPr="00E75B0F">
        <w:rPr>
          <w:rFonts w:ascii="Arial" w:hAnsi="Arial" w:cs="Arial"/>
          <w:sz w:val="24"/>
          <w:szCs w:val="24"/>
        </w:rPr>
        <w:t>rangka</w:t>
      </w:r>
      <w:proofErr w:type="spellEnd"/>
      <w:proofErr w:type="gram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Perumusan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Kebijakan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Teknis di </w:t>
      </w:r>
      <w:proofErr w:type="spellStart"/>
      <w:r w:rsidRPr="00E75B0F">
        <w:rPr>
          <w:rFonts w:ascii="Arial" w:hAnsi="Arial" w:cs="Arial"/>
          <w:sz w:val="24"/>
          <w:szCs w:val="24"/>
        </w:rPr>
        <w:t>Bidang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Fasilitasi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Pengawasan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</w:p>
    <w:p w14:paraId="2786F565" w14:textId="77777777" w:rsidR="00E75B0F" w:rsidRDefault="00E75B0F" w:rsidP="00E75B0F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E75B0F">
        <w:rPr>
          <w:rFonts w:ascii="Arial" w:hAnsi="Arial" w:cs="Arial"/>
          <w:sz w:val="24"/>
          <w:szCs w:val="24"/>
        </w:rPr>
        <w:t>Fasilitasi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PKPT ke </w:t>
      </w:r>
      <w:proofErr w:type="spellStart"/>
      <w:r w:rsidRPr="00E75B0F">
        <w:rPr>
          <w:rFonts w:ascii="Arial" w:hAnsi="Arial" w:cs="Arial"/>
          <w:sz w:val="24"/>
          <w:szCs w:val="24"/>
        </w:rPr>
        <w:t>Kabupaten</w:t>
      </w:r>
      <w:proofErr w:type="spellEnd"/>
      <w:r w:rsidRPr="00E75B0F">
        <w:rPr>
          <w:rFonts w:ascii="Arial" w:hAnsi="Arial" w:cs="Arial"/>
          <w:sz w:val="24"/>
          <w:szCs w:val="24"/>
        </w:rPr>
        <w:t>/Kota</w:t>
      </w:r>
    </w:p>
    <w:p w14:paraId="7F80DC42" w14:textId="77777777" w:rsidR="00E75B0F" w:rsidRDefault="00E75B0F" w:rsidP="00E75B0F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E75B0F">
        <w:rPr>
          <w:rFonts w:ascii="Arial" w:hAnsi="Arial" w:cs="Arial"/>
          <w:sz w:val="24"/>
          <w:szCs w:val="24"/>
        </w:rPr>
        <w:t>Penyusunan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dokumen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kebijakan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teknis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bidang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fasilitasi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5B0F">
        <w:rPr>
          <w:rFonts w:ascii="Arial" w:hAnsi="Arial" w:cs="Arial"/>
          <w:sz w:val="24"/>
          <w:szCs w:val="24"/>
        </w:rPr>
        <w:t>pengawasan</w:t>
      </w:r>
      <w:proofErr w:type="spellEnd"/>
      <w:r w:rsidRPr="00E75B0F">
        <w:rPr>
          <w:rFonts w:ascii="Arial" w:hAnsi="Arial" w:cs="Arial"/>
          <w:sz w:val="24"/>
          <w:szCs w:val="24"/>
        </w:rPr>
        <w:t xml:space="preserve"> </w:t>
      </w:r>
    </w:p>
    <w:p w14:paraId="1AF55560" w14:textId="77777777" w:rsidR="000769D2" w:rsidRPr="00E75B0F" w:rsidRDefault="000769D2" w:rsidP="000769D2">
      <w:pPr>
        <w:pStyle w:val="ListParagraph"/>
        <w:spacing w:after="0" w:line="360" w:lineRule="auto"/>
        <w:ind w:left="786"/>
        <w:jc w:val="both"/>
        <w:rPr>
          <w:rFonts w:ascii="Arial" w:hAnsi="Arial" w:cs="Arial"/>
          <w:sz w:val="24"/>
          <w:szCs w:val="24"/>
        </w:rPr>
      </w:pPr>
    </w:p>
    <w:p w14:paraId="0D8ED581" w14:textId="77777777" w:rsidR="00970B97" w:rsidRPr="00B33C5B" w:rsidRDefault="00970B97" w:rsidP="000769D2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33C5B">
        <w:rPr>
          <w:rFonts w:ascii="Arial" w:hAnsi="Arial" w:cs="Arial"/>
          <w:b/>
          <w:sz w:val="24"/>
          <w:szCs w:val="24"/>
        </w:rPr>
        <w:t>Penerima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 xml:space="preserve">Manfaat </w:t>
      </w:r>
      <w:r w:rsidR="00B33C5B">
        <w:rPr>
          <w:rFonts w:ascii="Arial" w:hAnsi="Arial" w:cs="Arial"/>
          <w:b/>
          <w:sz w:val="24"/>
          <w:szCs w:val="24"/>
        </w:rPr>
        <w:t>:</w:t>
      </w:r>
      <w:proofErr w:type="gramEnd"/>
    </w:p>
    <w:p w14:paraId="3BA15D5A" w14:textId="77777777" w:rsidR="00E42E6F" w:rsidRDefault="00970B97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Adapun yang </w:t>
      </w:r>
      <w:proofErr w:type="spellStart"/>
      <w:r>
        <w:rPr>
          <w:rFonts w:ascii="Arial" w:hAnsi="Arial" w:cs="Arial"/>
          <w:sz w:val="24"/>
          <w:szCs w:val="24"/>
        </w:rPr>
        <w:t>menerima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manfaat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38E7">
        <w:rPr>
          <w:rFonts w:ascii="Arial" w:hAnsi="Arial" w:cs="Arial"/>
          <w:sz w:val="24"/>
          <w:szCs w:val="24"/>
        </w:rPr>
        <w:t>perumusan</w:t>
      </w:r>
      <w:proofErr w:type="spellEnd"/>
      <w:r w:rsid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38E7">
        <w:rPr>
          <w:rFonts w:ascii="Arial" w:hAnsi="Arial" w:cs="Arial"/>
          <w:sz w:val="24"/>
          <w:szCs w:val="24"/>
        </w:rPr>
        <w:t>kebijakan</w:t>
      </w:r>
      <w:proofErr w:type="spellEnd"/>
      <w:r w:rsid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38E7">
        <w:rPr>
          <w:rFonts w:ascii="Arial" w:hAnsi="Arial" w:cs="Arial"/>
          <w:sz w:val="24"/>
          <w:szCs w:val="24"/>
        </w:rPr>
        <w:t>teknis</w:t>
      </w:r>
      <w:proofErr w:type="spellEnd"/>
      <w:r w:rsidR="002038E7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2038E7">
        <w:rPr>
          <w:rFonts w:ascii="Arial" w:hAnsi="Arial" w:cs="Arial"/>
          <w:sz w:val="24"/>
          <w:szCs w:val="24"/>
        </w:rPr>
        <w:t>bidang</w:t>
      </w:r>
      <w:proofErr w:type="spellEnd"/>
      <w:r w:rsidR="002038E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B0F">
        <w:rPr>
          <w:rFonts w:ascii="Arial" w:hAnsi="Arial" w:cs="Arial"/>
          <w:sz w:val="24"/>
          <w:szCs w:val="24"/>
        </w:rPr>
        <w:t>fasilitasi</w:t>
      </w:r>
      <w:proofErr w:type="spellEnd"/>
      <w:r w:rsid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38E7">
        <w:rPr>
          <w:rFonts w:ascii="Arial" w:hAnsi="Arial" w:cs="Arial"/>
          <w:sz w:val="24"/>
          <w:szCs w:val="24"/>
        </w:rPr>
        <w:t>pengawasan</w:t>
      </w:r>
      <w:proofErr w:type="spellEnd"/>
      <w:r>
        <w:rPr>
          <w:rFonts w:ascii="Arial" w:hAnsi="Arial" w:cs="Arial"/>
          <w:sz w:val="24"/>
          <w:szCs w:val="24"/>
        </w:rPr>
        <w:t xml:space="preserve"> ini adalah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Provinsi Sumatera Barat</w:t>
      </w:r>
      <w:r w:rsidR="002038E7">
        <w:rPr>
          <w:rFonts w:ascii="Arial" w:hAnsi="Arial" w:cs="Arial"/>
          <w:sz w:val="24"/>
          <w:szCs w:val="24"/>
        </w:rPr>
        <w:t>.</w:t>
      </w:r>
    </w:p>
    <w:p w14:paraId="4281F990" w14:textId="77777777" w:rsidR="000769D2" w:rsidRDefault="000769D2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88714F8" w14:textId="77777777" w:rsidR="00E42E6F" w:rsidRDefault="005D76D4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Strategi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Pencapaian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Keluaran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(Output)</w:t>
      </w:r>
      <w:r w:rsidR="00B33C5B">
        <w:rPr>
          <w:rFonts w:ascii="Arial" w:hAnsi="Arial" w:cs="Arial"/>
          <w:b/>
          <w:sz w:val="24"/>
          <w:szCs w:val="24"/>
        </w:rPr>
        <w:t xml:space="preserve"> :</w:t>
      </w:r>
    </w:p>
    <w:p w14:paraId="313C4EAD" w14:textId="77777777" w:rsidR="00BC42F3" w:rsidRDefault="002038E7" w:rsidP="002038E7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Penetapan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Perumusan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Kebijakan</w:t>
      </w:r>
      <w:proofErr w:type="spellEnd"/>
    </w:p>
    <w:p w14:paraId="71A321DB" w14:textId="77777777" w:rsidR="00E75B0F" w:rsidRDefault="00E75B0F" w:rsidP="00E75B0F">
      <w:pPr>
        <w:pStyle w:val="ListParagraph"/>
        <w:spacing w:after="0" w:line="360" w:lineRule="auto"/>
        <w:jc w:val="both"/>
        <w:rPr>
          <w:rFonts w:ascii="Tahoma" w:hAnsi="Tahoma" w:cs="Tahoma"/>
          <w:lang w:val="id-ID"/>
        </w:rPr>
      </w:pPr>
      <w:r w:rsidRPr="00E75B0F">
        <w:rPr>
          <w:rFonts w:ascii="Tahoma" w:hAnsi="Tahoma" w:cs="Tahoma"/>
          <w:lang w:val="id-ID"/>
        </w:rPr>
        <w:t>Program Kerja Pengawasan Tahunan ( PKPT) 1 Dokumen</w:t>
      </w:r>
    </w:p>
    <w:p w14:paraId="03DBE299" w14:textId="77777777" w:rsidR="000769D2" w:rsidRPr="00E75B0F" w:rsidRDefault="000769D2" w:rsidP="00E75B0F">
      <w:pPr>
        <w:pStyle w:val="ListParagraph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A56B4B0" w14:textId="77777777" w:rsidR="00AC2F66" w:rsidRPr="005414BB" w:rsidRDefault="009D56A9" w:rsidP="000769D2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5414BB">
        <w:rPr>
          <w:rFonts w:ascii="Arial" w:hAnsi="Arial" w:cs="Arial"/>
          <w:b/>
          <w:sz w:val="24"/>
          <w:szCs w:val="24"/>
        </w:rPr>
        <w:t>Tahapan</w:t>
      </w:r>
      <w:proofErr w:type="spellEnd"/>
      <w:r w:rsidRPr="005414BB">
        <w:rPr>
          <w:rFonts w:ascii="Arial" w:hAnsi="Arial" w:cs="Arial"/>
          <w:b/>
          <w:sz w:val="24"/>
          <w:szCs w:val="24"/>
        </w:rPr>
        <w:t xml:space="preserve"> dan Waktu </w:t>
      </w:r>
      <w:proofErr w:type="spellStart"/>
      <w:proofErr w:type="gramStart"/>
      <w:r w:rsidRPr="005414BB">
        <w:rPr>
          <w:rFonts w:ascii="Arial" w:hAnsi="Arial" w:cs="Arial"/>
          <w:b/>
          <w:sz w:val="24"/>
          <w:szCs w:val="24"/>
        </w:rPr>
        <w:t>Pelaksanaan</w:t>
      </w:r>
      <w:proofErr w:type="spellEnd"/>
      <w:r w:rsidR="005414BB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24"/>
        <w:gridCol w:w="1777"/>
        <w:gridCol w:w="557"/>
        <w:gridCol w:w="571"/>
        <w:gridCol w:w="571"/>
        <w:gridCol w:w="538"/>
        <w:gridCol w:w="549"/>
        <w:gridCol w:w="549"/>
        <w:gridCol w:w="483"/>
        <w:gridCol w:w="561"/>
        <w:gridCol w:w="572"/>
        <w:gridCol w:w="528"/>
        <w:gridCol w:w="572"/>
        <w:gridCol w:w="572"/>
      </w:tblGrid>
      <w:tr w:rsidR="009D56A9" w14:paraId="10EB1CB1" w14:textId="77777777" w:rsidTr="00E75B0F">
        <w:tc>
          <w:tcPr>
            <w:tcW w:w="524" w:type="dxa"/>
            <w:vMerge w:val="restart"/>
          </w:tcPr>
          <w:p w14:paraId="0B5E8D98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778" w:type="dxa"/>
            <w:vMerge w:val="restart"/>
          </w:tcPr>
          <w:p w14:paraId="456AC8E6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6848" w:type="dxa"/>
            <w:gridSpan w:val="12"/>
          </w:tcPr>
          <w:p w14:paraId="2CAA00BD" w14:textId="47F82F73" w:rsidR="009D56A9" w:rsidRPr="00AC2F66" w:rsidRDefault="009D56A9" w:rsidP="00AC2F66">
            <w:pPr>
              <w:spacing w:line="36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0769D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56A9" w14:paraId="01083A5F" w14:textId="77777777" w:rsidTr="00E75B0F">
        <w:tc>
          <w:tcPr>
            <w:tcW w:w="524" w:type="dxa"/>
            <w:vMerge/>
          </w:tcPr>
          <w:p w14:paraId="26B87776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14:paraId="0DCBB673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" w:type="dxa"/>
          </w:tcPr>
          <w:p w14:paraId="5B22FF5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599" w:type="dxa"/>
          </w:tcPr>
          <w:p w14:paraId="68A9A056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599" w:type="dxa"/>
          </w:tcPr>
          <w:p w14:paraId="4E79023F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567" w:type="dxa"/>
          </w:tcPr>
          <w:p w14:paraId="13580028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578" w:type="dxa"/>
          </w:tcPr>
          <w:p w14:paraId="320ACD22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Mei</w:t>
            </w:r>
          </w:p>
        </w:tc>
        <w:tc>
          <w:tcPr>
            <w:tcW w:w="578" w:type="dxa"/>
          </w:tcPr>
          <w:p w14:paraId="636C5995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513" w:type="dxa"/>
          </w:tcPr>
          <w:p w14:paraId="4EB586DD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561" w:type="dxa"/>
          </w:tcPr>
          <w:p w14:paraId="2503AF0B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72" w:type="dxa"/>
          </w:tcPr>
          <w:p w14:paraId="195EFBE9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528" w:type="dxa"/>
          </w:tcPr>
          <w:p w14:paraId="6BF2D4FC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72" w:type="dxa"/>
          </w:tcPr>
          <w:p w14:paraId="5DE1C25A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572" w:type="dxa"/>
          </w:tcPr>
          <w:p w14:paraId="38E9EBCF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Des</w:t>
            </w:r>
          </w:p>
        </w:tc>
      </w:tr>
      <w:tr w:rsidR="00C01FF9" w14:paraId="5463BC35" w14:textId="77777777" w:rsidTr="00E75B0F">
        <w:tc>
          <w:tcPr>
            <w:tcW w:w="524" w:type="dxa"/>
          </w:tcPr>
          <w:p w14:paraId="33B3FDA5" w14:textId="77777777" w:rsidR="00C01FF9" w:rsidRPr="00126CFB" w:rsidRDefault="00D45BFE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8" w:type="dxa"/>
          </w:tcPr>
          <w:p w14:paraId="1B166016" w14:textId="77777777" w:rsidR="00C01FF9" w:rsidRPr="00126CFB" w:rsidRDefault="00E75B0F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lang w:val="id-ID"/>
              </w:rPr>
              <w:t xml:space="preserve">Kegiatan rapat-rapat dalam  rangka Perumusan Kebijakan </w:t>
            </w:r>
            <w:r>
              <w:rPr>
                <w:rFonts w:ascii="Tahoma" w:hAnsi="Tahoma" w:cs="Tahoma"/>
                <w:lang w:val="id-ID"/>
              </w:rPr>
              <w:lastRenderedPageBreak/>
              <w:t>Teknis di Bidang Fasilitasi Pengawasan</w:t>
            </w:r>
          </w:p>
        </w:tc>
        <w:tc>
          <w:tcPr>
            <w:tcW w:w="609" w:type="dxa"/>
          </w:tcPr>
          <w:p w14:paraId="4470F35D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lastRenderedPageBreak/>
              <w:t>√</w:t>
            </w:r>
          </w:p>
        </w:tc>
        <w:tc>
          <w:tcPr>
            <w:tcW w:w="599" w:type="dxa"/>
          </w:tcPr>
          <w:p w14:paraId="3C34FDEE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99" w:type="dxa"/>
          </w:tcPr>
          <w:p w14:paraId="57FE6C06" w14:textId="77777777" w:rsidR="00C01FF9" w:rsidRDefault="00C01FF9" w:rsidP="004B3FDB">
            <w:pPr>
              <w:jc w:val="center"/>
            </w:pPr>
          </w:p>
        </w:tc>
        <w:tc>
          <w:tcPr>
            <w:tcW w:w="567" w:type="dxa"/>
          </w:tcPr>
          <w:p w14:paraId="568316D8" w14:textId="77777777" w:rsidR="00C01FF9" w:rsidRDefault="00C01FF9" w:rsidP="004B3FDB">
            <w:pPr>
              <w:jc w:val="center"/>
            </w:pPr>
          </w:p>
        </w:tc>
        <w:tc>
          <w:tcPr>
            <w:tcW w:w="578" w:type="dxa"/>
          </w:tcPr>
          <w:p w14:paraId="7E102F30" w14:textId="77777777" w:rsidR="00C01FF9" w:rsidRDefault="00C01FF9" w:rsidP="004B3FDB">
            <w:pPr>
              <w:jc w:val="center"/>
            </w:pPr>
          </w:p>
        </w:tc>
        <w:tc>
          <w:tcPr>
            <w:tcW w:w="578" w:type="dxa"/>
          </w:tcPr>
          <w:p w14:paraId="4DEF32A8" w14:textId="77777777" w:rsidR="00C01FF9" w:rsidRDefault="00C01FF9" w:rsidP="004B3FDB">
            <w:pPr>
              <w:jc w:val="center"/>
            </w:pPr>
          </w:p>
        </w:tc>
        <w:tc>
          <w:tcPr>
            <w:tcW w:w="513" w:type="dxa"/>
          </w:tcPr>
          <w:p w14:paraId="6C77385C" w14:textId="77777777" w:rsidR="00C01FF9" w:rsidRDefault="00C01FF9" w:rsidP="004B3FDB">
            <w:pPr>
              <w:jc w:val="center"/>
            </w:pPr>
          </w:p>
        </w:tc>
        <w:tc>
          <w:tcPr>
            <w:tcW w:w="561" w:type="dxa"/>
          </w:tcPr>
          <w:p w14:paraId="34BA1FC1" w14:textId="77777777" w:rsidR="00C01FF9" w:rsidRDefault="00C01FF9" w:rsidP="004B3FDB">
            <w:pPr>
              <w:jc w:val="center"/>
            </w:pPr>
          </w:p>
        </w:tc>
        <w:tc>
          <w:tcPr>
            <w:tcW w:w="572" w:type="dxa"/>
          </w:tcPr>
          <w:p w14:paraId="6360EC2E" w14:textId="77777777" w:rsidR="00C01FF9" w:rsidRDefault="00C01FF9" w:rsidP="004B3FDB">
            <w:pPr>
              <w:jc w:val="center"/>
            </w:pPr>
          </w:p>
        </w:tc>
        <w:tc>
          <w:tcPr>
            <w:tcW w:w="528" w:type="dxa"/>
          </w:tcPr>
          <w:p w14:paraId="18517BFA" w14:textId="77777777" w:rsidR="00C01FF9" w:rsidRDefault="00C01FF9" w:rsidP="004B3FDB">
            <w:pPr>
              <w:jc w:val="center"/>
            </w:pPr>
          </w:p>
        </w:tc>
        <w:tc>
          <w:tcPr>
            <w:tcW w:w="572" w:type="dxa"/>
          </w:tcPr>
          <w:p w14:paraId="090DE271" w14:textId="77777777" w:rsidR="00C01FF9" w:rsidRDefault="00C01FF9" w:rsidP="004B3FDB">
            <w:pPr>
              <w:jc w:val="center"/>
            </w:pPr>
          </w:p>
        </w:tc>
        <w:tc>
          <w:tcPr>
            <w:tcW w:w="572" w:type="dxa"/>
          </w:tcPr>
          <w:p w14:paraId="74B4BA80" w14:textId="77777777" w:rsidR="00C01FF9" w:rsidRDefault="00C01FF9" w:rsidP="004B3FDB">
            <w:pPr>
              <w:jc w:val="center"/>
            </w:pPr>
          </w:p>
        </w:tc>
      </w:tr>
      <w:tr w:rsidR="00E75B0F" w14:paraId="6DF057C3" w14:textId="77777777" w:rsidTr="00E75B0F">
        <w:tc>
          <w:tcPr>
            <w:tcW w:w="524" w:type="dxa"/>
          </w:tcPr>
          <w:p w14:paraId="113812E6" w14:textId="77777777" w:rsidR="00E75B0F" w:rsidRDefault="00E75B0F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8" w:type="dxa"/>
          </w:tcPr>
          <w:p w14:paraId="2F39CCA2" w14:textId="77777777" w:rsidR="00E75B0F" w:rsidRDefault="00E75B0F" w:rsidP="003654E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>Fasilitasi PKPT ke Kabupaten/Kota</w:t>
            </w:r>
          </w:p>
        </w:tc>
        <w:tc>
          <w:tcPr>
            <w:tcW w:w="609" w:type="dxa"/>
          </w:tcPr>
          <w:p w14:paraId="576C3CD7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99" w:type="dxa"/>
          </w:tcPr>
          <w:p w14:paraId="6E66E3B6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99" w:type="dxa"/>
          </w:tcPr>
          <w:p w14:paraId="7C3AB4A0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14:paraId="73305389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8" w:type="dxa"/>
          </w:tcPr>
          <w:p w14:paraId="2001A0E3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8" w:type="dxa"/>
          </w:tcPr>
          <w:p w14:paraId="7985F084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13" w:type="dxa"/>
          </w:tcPr>
          <w:p w14:paraId="2268DFCE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1" w:type="dxa"/>
          </w:tcPr>
          <w:p w14:paraId="2C5EB263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47EE3D8E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28" w:type="dxa"/>
          </w:tcPr>
          <w:p w14:paraId="19BC5644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694634D5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4565D02E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</w:tr>
      <w:tr w:rsidR="00E75B0F" w14:paraId="534410D5" w14:textId="77777777" w:rsidTr="00E75B0F">
        <w:tc>
          <w:tcPr>
            <w:tcW w:w="524" w:type="dxa"/>
          </w:tcPr>
          <w:p w14:paraId="3863D8FD" w14:textId="77777777" w:rsidR="00E75B0F" w:rsidRDefault="00E75B0F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78" w:type="dxa"/>
          </w:tcPr>
          <w:p w14:paraId="69883335" w14:textId="77777777" w:rsidR="00E75B0F" w:rsidRDefault="00E75B0F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lang w:val="id-ID"/>
              </w:rPr>
              <w:t>Penyusunan dokumen kebijakan teknis bidang fasilitasi pengawasan</w:t>
            </w:r>
          </w:p>
        </w:tc>
        <w:tc>
          <w:tcPr>
            <w:tcW w:w="609" w:type="dxa"/>
          </w:tcPr>
          <w:p w14:paraId="2921552B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99" w:type="dxa"/>
          </w:tcPr>
          <w:p w14:paraId="7ECD0F16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99" w:type="dxa"/>
          </w:tcPr>
          <w:p w14:paraId="1BC8AF3D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14:paraId="7CF76E87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8" w:type="dxa"/>
          </w:tcPr>
          <w:p w14:paraId="3B583A2A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8" w:type="dxa"/>
          </w:tcPr>
          <w:p w14:paraId="42BC2052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13" w:type="dxa"/>
          </w:tcPr>
          <w:p w14:paraId="4630B312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1" w:type="dxa"/>
          </w:tcPr>
          <w:p w14:paraId="555285BD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59E19972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28" w:type="dxa"/>
          </w:tcPr>
          <w:p w14:paraId="3EC898EF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309FDF98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00518ABC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</w:tr>
    </w:tbl>
    <w:p w14:paraId="39726A90" w14:textId="77777777" w:rsidR="000769D2" w:rsidRDefault="000769D2" w:rsidP="000769D2">
      <w:pPr>
        <w:pStyle w:val="ListParagraph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546A09B" w14:textId="17412699" w:rsidR="00AC2F66" w:rsidRDefault="001378BE" w:rsidP="000769D2">
      <w:pPr>
        <w:pStyle w:val="ListParagraph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378BE">
        <w:rPr>
          <w:rFonts w:ascii="Arial" w:hAnsi="Arial" w:cs="Arial"/>
          <w:b/>
          <w:sz w:val="24"/>
          <w:szCs w:val="24"/>
        </w:rPr>
        <w:t>Penutup</w:t>
      </w:r>
      <w:proofErr w:type="spellEnd"/>
      <w:r w:rsidRPr="001378BE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318C51BF" w14:textId="3D590F3A" w:rsidR="00C652F0" w:rsidRPr="00045582" w:rsidRDefault="00045582" w:rsidP="000769D2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 w:rsidRPr="00045582">
        <w:rPr>
          <w:rFonts w:ascii="Arial" w:hAnsi="Arial" w:cs="Arial"/>
          <w:sz w:val="24"/>
          <w:szCs w:val="24"/>
        </w:rPr>
        <w:t>Demikian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lah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Kerangka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Acuan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Kerja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Pr="00045582">
        <w:rPr>
          <w:rFonts w:ascii="Arial" w:hAnsi="Arial" w:cs="Arial"/>
          <w:sz w:val="24"/>
          <w:szCs w:val="24"/>
        </w:rPr>
        <w:t>dibuat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untuk dapat </w:t>
      </w:r>
      <w:proofErr w:type="spellStart"/>
      <w:r w:rsidRPr="00045582">
        <w:rPr>
          <w:rFonts w:ascii="Arial" w:hAnsi="Arial" w:cs="Arial"/>
          <w:sz w:val="24"/>
          <w:szCs w:val="24"/>
        </w:rPr>
        <w:t>dijadikan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acuan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045582">
        <w:rPr>
          <w:rFonts w:ascii="Arial" w:hAnsi="Arial" w:cs="Arial"/>
          <w:sz w:val="24"/>
          <w:szCs w:val="24"/>
        </w:rPr>
        <w:t>pelaksanaan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kegiatan </w:t>
      </w:r>
      <w:proofErr w:type="spellStart"/>
      <w:r w:rsidRPr="00045582">
        <w:rPr>
          <w:rFonts w:ascii="Arial" w:hAnsi="Arial" w:cs="Arial"/>
          <w:sz w:val="24"/>
          <w:szCs w:val="24"/>
        </w:rPr>
        <w:t>Pe</w:t>
      </w:r>
      <w:r w:rsidR="00B32A65">
        <w:rPr>
          <w:rFonts w:ascii="Arial" w:hAnsi="Arial" w:cs="Arial"/>
          <w:sz w:val="24"/>
          <w:szCs w:val="24"/>
        </w:rPr>
        <w:t>rumusan</w:t>
      </w:r>
      <w:proofErr w:type="spellEnd"/>
      <w:r w:rsidR="00B32A6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32A65">
        <w:rPr>
          <w:rFonts w:ascii="Arial" w:hAnsi="Arial" w:cs="Arial"/>
          <w:sz w:val="24"/>
          <w:szCs w:val="24"/>
        </w:rPr>
        <w:t>Kebijakan</w:t>
      </w:r>
      <w:proofErr w:type="spellEnd"/>
      <w:r w:rsidR="00B32A65">
        <w:rPr>
          <w:rFonts w:ascii="Arial" w:hAnsi="Arial" w:cs="Arial"/>
          <w:sz w:val="24"/>
          <w:szCs w:val="24"/>
        </w:rPr>
        <w:t xml:space="preserve"> Teknis di </w:t>
      </w:r>
      <w:proofErr w:type="spellStart"/>
      <w:r w:rsidR="00B32A65">
        <w:rPr>
          <w:rFonts w:ascii="Arial" w:hAnsi="Arial" w:cs="Arial"/>
          <w:sz w:val="24"/>
          <w:szCs w:val="24"/>
        </w:rPr>
        <w:t>bidang</w:t>
      </w:r>
      <w:proofErr w:type="spellEnd"/>
      <w:r w:rsidR="00B32A6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5B0F">
        <w:rPr>
          <w:rFonts w:ascii="Arial" w:hAnsi="Arial" w:cs="Arial"/>
          <w:sz w:val="24"/>
          <w:szCs w:val="24"/>
        </w:rPr>
        <w:t>fasilitasi</w:t>
      </w:r>
      <w:proofErr w:type="spellEnd"/>
      <w:r w:rsidR="00E75B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32A65">
        <w:rPr>
          <w:rFonts w:ascii="Arial" w:hAnsi="Arial" w:cs="Arial"/>
          <w:sz w:val="24"/>
          <w:szCs w:val="24"/>
        </w:rPr>
        <w:t>pengawasan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Pr="00045582">
        <w:rPr>
          <w:rFonts w:ascii="Arial" w:hAnsi="Arial" w:cs="Arial"/>
          <w:sz w:val="24"/>
          <w:szCs w:val="24"/>
        </w:rPr>
        <w:t>dibuat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Pr="00045582">
        <w:rPr>
          <w:rFonts w:ascii="Arial" w:hAnsi="Arial" w:cs="Arial"/>
          <w:sz w:val="24"/>
          <w:szCs w:val="24"/>
        </w:rPr>
        <w:t>Inspektorat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Pr="00045582">
        <w:rPr>
          <w:rFonts w:ascii="Arial" w:hAnsi="Arial" w:cs="Arial"/>
          <w:sz w:val="24"/>
          <w:szCs w:val="24"/>
        </w:rPr>
        <w:t>Tahun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Anggaran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45582">
        <w:rPr>
          <w:rFonts w:ascii="Arial" w:hAnsi="Arial" w:cs="Arial"/>
          <w:sz w:val="24"/>
          <w:szCs w:val="24"/>
        </w:rPr>
        <w:t>202</w:t>
      </w:r>
      <w:r w:rsidR="000769D2">
        <w:rPr>
          <w:rFonts w:ascii="Arial" w:hAnsi="Arial" w:cs="Arial"/>
          <w:sz w:val="24"/>
          <w:szCs w:val="24"/>
        </w:rPr>
        <w:t>5</w:t>
      </w:r>
      <w:r w:rsidRPr="00045582">
        <w:rPr>
          <w:rFonts w:ascii="Arial" w:hAnsi="Arial" w:cs="Arial"/>
          <w:sz w:val="24"/>
          <w:szCs w:val="24"/>
        </w:rPr>
        <w:t xml:space="preserve">  dan</w:t>
      </w:r>
      <w:proofErr w:type="gramEnd"/>
      <w:r w:rsidRPr="00045582">
        <w:rPr>
          <w:rFonts w:ascii="Arial" w:hAnsi="Arial" w:cs="Arial"/>
          <w:sz w:val="24"/>
          <w:szCs w:val="24"/>
        </w:rPr>
        <w:t xml:space="preserve"> </w:t>
      </w:r>
      <w:r w:rsidR="00C652F0" w:rsidRPr="00045582">
        <w:rPr>
          <w:rFonts w:ascii="Arial" w:hAnsi="Arial" w:cs="Arial"/>
          <w:sz w:val="24"/>
          <w:szCs w:val="24"/>
        </w:rPr>
        <w:t xml:space="preserve">untuk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dipergunakan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sebagaimana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mestinya</w:t>
      </w:r>
      <w:proofErr w:type="spellEnd"/>
      <w:r w:rsidR="00C11140" w:rsidRPr="00045582">
        <w:rPr>
          <w:rFonts w:ascii="Arial" w:hAnsi="Arial" w:cs="Arial"/>
          <w:sz w:val="24"/>
          <w:szCs w:val="24"/>
        </w:rPr>
        <w:t>.</w:t>
      </w:r>
    </w:p>
    <w:p w14:paraId="6F28D48A" w14:textId="77777777" w:rsidR="00C11140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C6EAF44" w14:textId="40988427" w:rsidR="008A7755" w:rsidRPr="003E7566" w:rsidRDefault="008A7755" w:rsidP="008A7755">
      <w:pPr>
        <w:widowControl w:val="0"/>
        <w:tabs>
          <w:tab w:val="left" w:pos="6030"/>
          <w:tab w:val="left" w:pos="612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r w:rsidRPr="003E7566">
        <w:rPr>
          <w:rFonts w:ascii="Arial" w:hAnsi="Arial" w:cs="Arial"/>
          <w:sz w:val="24"/>
          <w:szCs w:val="24"/>
        </w:rPr>
        <w:t xml:space="preserve">Padang,  </w:t>
      </w:r>
      <w:r>
        <w:rPr>
          <w:rFonts w:ascii="Arial" w:hAnsi="Arial" w:cs="Arial"/>
          <w:sz w:val="24"/>
          <w:szCs w:val="24"/>
        </w:rPr>
        <w:t xml:space="preserve">  </w:t>
      </w:r>
      <w:r w:rsidRPr="003E7566">
        <w:rPr>
          <w:rFonts w:ascii="Arial" w:hAnsi="Arial" w:cs="Arial"/>
          <w:sz w:val="24"/>
          <w:szCs w:val="24"/>
        </w:rPr>
        <w:t>Januari 202</w:t>
      </w:r>
      <w:r w:rsidR="000769D2">
        <w:rPr>
          <w:rFonts w:ascii="Arial" w:hAnsi="Arial" w:cs="Arial"/>
          <w:sz w:val="24"/>
          <w:szCs w:val="24"/>
        </w:rPr>
        <w:t>5</w:t>
      </w:r>
    </w:p>
    <w:tbl>
      <w:tblPr>
        <w:tblStyle w:val="TableGrid"/>
        <w:tblW w:w="946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7"/>
        <w:gridCol w:w="1731"/>
        <w:gridCol w:w="4680"/>
      </w:tblGrid>
      <w:tr w:rsidR="008A7755" w:rsidRPr="003E7566" w14:paraId="7CC684C5" w14:textId="77777777" w:rsidTr="00F30417">
        <w:tc>
          <w:tcPr>
            <w:tcW w:w="3057" w:type="dxa"/>
          </w:tcPr>
          <w:p w14:paraId="0D46845F" w14:textId="77777777" w:rsidR="008A7755" w:rsidRPr="003E7566" w:rsidRDefault="008A7755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1" w:type="dxa"/>
          </w:tcPr>
          <w:p w14:paraId="6550DA9F" w14:textId="77777777" w:rsidR="008A7755" w:rsidRPr="003E7566" w:rsidRDefault="008A7755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0" w:type="dxa"/>
          </w:tcPr>
          <w:p w14:paraId="69DFE2BF" w14:textId="77777777" w:rsidR="008A7755" w:rsidRPr="003E7566" w:rsidRDefault="008A7755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Kuasa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Pengguna</w:t>
            </w:r>
            <w:proofErr w:type="spellEnd"/>
            <w:r w:rsidRPr="003E75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</w:p>
          <w:p w14:paraId="4D0AA32F" w14:textId="77777777" w:rsidR="008A7755" w:rsidRPr="003E7566" w:rsidRDefault="008A7755" w:rsidP="00F3041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14:paraId="2C232E33" w14:textId="77777777" w:rsidR="008A7755" w:rsidRDefault="008A7755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B0121F" w14:textId="77777777" w:rsidR="008A7755" w:rsidRDefault="008A7755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9B426EC" w14:textId="77777777" w:rsidR="008A7755" w:rsidRPr="003E7566" w:rsidRDefault="008A7755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3F4608A5" w14:textId="77777777" w:rsidR="008A7755" w:rsidRPr="003E7566" w:rsidRDefault="008A7755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E7566">
              <w:rPr>
                <w:rFonts w:ascii="Arial" w:hAnsi="Arial" w:cs="Arial"/>
                <w:b/>
                <w:sz w:val="24"/>
                <w:szCs w:val="24"/>
              </w:rPr>
              <w:t xml:space="preserve">RINI OCTAVIANTI, ST, </w:t>
            </w:r>
            <w:proofErr w:type="spellStart"/>
            <w:r w:rsidRPr="003E7566">
              <w:rPr>
                <w:rFonts w:ascii="Arial" w:hAnsi="Arial" w:cs="Arial"/>
                <w:b/>
                <w:sz w:val="24"/>
                <w:szCs w:val="24"/>
              </w:rPr>
              <w:t>M.Si</w:t>
            </w:r>
            <w:proofErr w:type="spellEnd"/>
          </w:p>
        </w:tc>
      </w:tr>
    </w:tbl>
    <w:p w14:paraId="66E069CF" w14:textId="77777777" w:rsidR="00C11140" w:rsidRPr="005C36F9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sectPr w:rsidR="00C11140" w:rsidRPr="005C36F9" w:rsidSect="00FE2D15">
      <w:footerReference w:type="default" r:id="rId9"/>
      <w:pgSz w:w="12240" w:h="15840"/>
      <w:pgMar w:top="1440" w:right="1440" w:bottom="1440" w:left="1440" w:header="708" w:footer="708" w:gutter="0"/>
      <w:pgBorders w:display="firstPage" w:offsetFrom="page">
        <w:top w:val="thinThickThinLargeGap" w:sz="24" w:space="24" w:color="31479E" w:themeColor="accent1" w:themeShade="BF"/>
        <w:left w:val="thinThickThinLargeGap" w:sz="24" w:space="24" w:color="31479E" w:themeColor="accent1" w:themeShade="BF"/>
        <w:bottom w:val="thinThickThinLargeGap" w:sz="24" w:space="24" w:color="31479E" w:themeColor="accent1" w:themeShade="BF"/>
        <w:right w:val="thinThickThinLargeGap" w:sz="24" w:space="24" w:color="31479E" w:themeColor="accent1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EEA01" w14:textId="77777777" w:rsidR="009F5D1A" w:rsidRDefault="009F5D1A" w:rsidP="00FE2D15">
      <w:pPr>
        <w:spacing w:after="0" w:line="240" w:lineRule="auto"/>
      </w:pPr>
      <w:r>
        <w:separator/>
      </w:r>
    </w:p>
  </w:endnote>
  <w:endnote w:type="continuationSeparator" w:id="0">
    <w:p w14:paraId="5BF40CEF" w14:textId="77777777" w:rsidR="009F5D1A" w:rsidRDefault="009F5D1A" w:rsidP="00FE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04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E3F4D9" w14:textId="77777777" w:rsidR="00BC42F3" w:rsidRDefault="00BC42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4EA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734EA9E" w14:textId="77777777" w:rsidR="00BC42F3" w:rsidRDefault="00BC42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B7BD4" w14:textId="77777777" w:rsidR="009F5D1A" w:rsidRDefault="009F5D1A" w:rsidP="00FE2D15">
      <w:pPr>
        <w:spacing w:after="0" w:line="240" w:lineRule="auto"/>
      </w:pPr>
      <w:r>
        <w:separator/>
      </w:r>
    </w:p>
  </w:footnote>
  <w:footnote w:type="continuationSeparator" w:id="0">
    <w:p w14:paraId="036A7E4A" w14:textId="77777777" w:rsidR="009F5D1A" w:rsidRDefault="009F5D1A" w:rsidP="00FE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198"/>
    <w:multiLevelType w:val="hybridMultilevel"/>
    <w:tmpl w:val="C108CDD2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67504B"/>
    <w:multiLevelType w:val="hybridMultilevel"/>
    <w:tmpl w:val="0260593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D07FBB"/>
    <w:multiLevelType w:val="hybridMultilevel"/>
    <w:tmpl w:val="F1C0ED0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F434E12"/>
    <w:multiLevelType w:val="hybridMultilevel"/>
    <w:tmpl w:val="98740270"/>
    <w:lvl w:ilvl="0" w:tplc="BAA6255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F5E62F1"/>
    <w:multiLevelType w:val="hybridMultilevel"/>
    <w:tmpl w:val="092C622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EEB7A48"/>
    <w:multiLevelType w:val="hybridMultilevel"/>
    <w:tmpl w:val="C2723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B11BC"/>
    <w:multiLevelType w:val="hybridMultilevel"/>
    <w:tmpl w:val="20ACE5B2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3121E11"/>
    <w:multiLevelType w:val="hybridMultilevel"/>
    <w:tmpl w:val="3D764D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95261EC"/>
    <w:multiLevelType w:val="hybridMultilevel"/>
    <w:tmpl w:val="EFCE55B0"/>
    <w:lvl w:ilvl="0" w:tplc="1E6A4BC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2C03045"/>
    <w:multiLevelType w:val="hybridMultilevel"/>
    <w:tmpl w:val="59B6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9E2CDA"/>
    <w:multiLevelType w:val="hybridMultilevel"/>
    <w:tmpl w:val="0D04C370"/>
    <w:lvl w:ilvl="0" w:tplc="C62E48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7751177"/>
    <w:multiLevelType w:val="hybridMultilevel"/>
    <w:tmpl w:val="6A1045F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C325B52"/>
    <w:multiLevelType w:val="hybridMultilevel"/>
    <w:tmpl w:val="643A6EF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17080861">
    <w:abstractNumId w:val="5"/>
  </w:num>
  <w:num w:numId="2" w16cid:durableId="1586382964">
    <w:abstractNumId w:val="9"/>
  </w:num>
  <w:num w:numId="3" w16cid:durableId="1866675422">
    <w:abstractNumId w:val="6"/>
  </w:num>
  <w:num w:numId="4" w16cid:durableId="41372513">
    <w:abstractNumId w:val="7"/>
  </w:num>
  <w:num w:numId="5" w16cid:durableId="1352758387">
    <w:abstractNumId w:val="4"/>
  </w:num>
  <w:num w:numId="6" w16cid:durableId="1192769767">
    <w:abstractNumId w:val="10"/>
  </w:num>
  <w:num w:numId="7" w16cid:durableId="1740668826">
    <w:abstractNumId w:val="1"/>
  </w:num>
  <w:num w:numId="8" w16cid:durableId="646083346">
    <w:abstractNumId w:val="0"/>
  </w:num>
  <w:num w:numId="9" w16cid:durableId="1784494144">
    <w:abstractNumId w:val="2"/>
  </w:num>
  <w:num w:numId="10" w16cid:durableId="1012806549">
    <w:abstractNumId w:val="12"/>
  </w:num>
  <w:num w:numId="11" w16cid:durableId="855850706">
    <w:abstractNumId w:val="11"/>
  </w:num>
  <w:num w:numId="12" w16cid:durableId="1891451361">
    <w:abstractNumId w:val="8"/>
  </w:num>
  <w:num w:numId="13" w16cid:durableId="621182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279"/>
    <w:rsid w:val="00036315"/>
    <w:rsid w:val="0004036C"/>
    <w:rsid w:val="00045582"/>
    <w:rsid w:val="00057988"/>
    <w:rsid w:val="000769D2"/>
    <w:rsid w:val="00076AD1"/>
    <w:rsid w:val="00080188"/>
    <w:rsid w:val="000803B2"/>
    <w:rsid w:val="000830E0"/>
    <w:rsid w:val="00091A45"/>
    <w:rsid w:val="000D1A13"/>
    <w:rsid w:val="00107779"/>
    <w:rsid w:val="00126CFB"/>
    <w:rsid w:val="001301EF"/>
    <w:rsid w:val="00133E12"/>
    <w:rsid w:val="00136C46"/>
    <w:rsid w:val="001378BE"/>
    <w:rsid w:val="001446A1"/>
    <w:rsid w:val="00146158"/>
    <w:rsid w:val="001565F5"/>
    <w:rsid w:val="00157AF0"/>
    <w:rsid w:val="0018148F"/>
    <w:rsid w:val="00191311"/>
    <w:rsid w:val="001A49EB"/>
    <w:rsid w:val="001B635C"/>
    <w:rsid w:val="001C179C"/>
    <w:rsid w:val="001C1A0A"/>
    <w:rsid w:val="001E0D01"/>
    <w:rsid w:val="001E21D9"/>
    <w:rsid w:val="002038E7"/>
    <w:rsid w:val="002068ED"/>
    <w:rsid w:val="00222010"/>
    <w:rsid w:val="0022357C"/>
    <w:rsid w:val="0022671B"/>
    <w:rsid w:val="00234EAA"/>
    <w:rsid w:val="002352BB"/>
    <w:rsid w:val="00241CF8"/>
    <w:rsid w:val="00245BE4"/>
    <w:rsid w:val="00252591"/>
    <w:rsid w:val="00266F4D"/>
    <w:rsid w:val="0026793B"/>
    <w:rsid w:val="00295134"/>
    <w:rsid w:val="002A4EC5"/>
    <w:rsid w:val="002F533E"/>
    <w:rsid w:val="003346FC"/>
    <w:rsid w:val="00355075"/>
    <w:rsid w:val="003569F2"/>
    <w:rsid w:val="00366083"/>
    <w:rsid w:val="003722E0"/>
    <w:rsid w:val="00391CCF"/>
    <w:rsid w:val="003C11F5"/>
    <w:rsid w:val="003C3908"/>
    <w:rsid w:val="003D0FF4"/>
    <w:rsid w:val="00402F35"/>
    <w:rsid w:val="004042B1"/>
    <w:rsid w:val="004259D0"/>
    <w:rsid w:val="00432008"/>
    <w:rsid w:val="00442578"/>
    <w:rsid w:val="004571E4"/>
    <w:rsid w:val="00460DCA"/>
    <w:rsid w:val="00470A3E"/>
    <w:rsid w:val="00472C4D"/>
    <w:rsid w:val="00476DEA"/>
    <w:rsid w:val="0048000F"/>
    <w:rsid w:val="00482ED9"/>
    <w:rsid w:val="0048554B"/>
    <w:rsid w:val="00493EB6"/>
    <w:rsid w:val="004B3FDB"/>
    <w:rsid w:val="004B4559"/>
    <w:rsid w:val="004C34F8"/>
    <w:rsid w:val="004C55F8"/>
    <w:rsid w:val="004D1247"/>
    <w:rsid w:val="004D3FF7"/>
    <w:rsid w:val="004D409C"/>
    <w:rsid w:val="005032F8"/>
    <w:rsid w:val="00510F40"/>
    <w:rsid w:val="005232F5"/>
    <w:rsid w:val="0053475A"/>
    <w:rsid w:val="005414BB"/>
    <w:rsid w:val="00554A05"/>
    <w:rsid w:val="00556374"/>
    <w:rsid w:val="005651B8"/>
    <w:rsid w:val="00567974"/>
    <w:rsid w:val="00574BD2"/>
    <w:rsid w:val="005775A3"/>
    <w:rsid w:val="00582E2D"/>
    <w:rsid w:val="00584357"/>
    <w:rsid w:val="00595C83"/>
    <w:rsid w:val="005B3EAF"/>
    <w:rsid w:val="005B6BF4"/>
    <w:rsid w:val="005B700E"/>
    <w:rsid w:val="005C08DB"/>
    <w:rsid w:val="005C36F9"/>
    <w:rsid w:val="005D3417"/>
    <w:rsid w:val="005D3E31"/>
    <w:rsid w:val="005D58CF"/>
    <w:rsid w:val="005D76D4"/>
    <w:rsid w:val="006255DE"/>
    <w:rsid w:val="00635196"/>
    <w:rsid w:val="00635C88"/>
    <w:rsid w:val="006405F9"/>
    <w:rsid w:val="00646279"/>
    <w:rsid w:val="006500C9"/>
    <w:rsid w:val="00655D6C"/>
    <w:rsid w:val="006601DA"/>
    <w:rsid w:val="0066728D"/>
    <w:rsid w:val="00674F6B"/>
    <w:rsid w:val="00675A36"/>
    <w:rsid w:val="00676AF2"/>
    <w:rsid w:val="00686D45"/>
    <w:rsid w:val="006B7EE6"/>
    <w:rsid w:val="006C51A5"/>
    <w:rsid w:val="006D1D2A"/>
    <w:rsid w:val="006D3860"/>
    <w:rsid w:val="006E166F"/>
    <w:rsid w:val="006E1960"/>
    <w:rsid w:val="006E23BA"/>
    <w:rsid w:val="007063D4"/>
    <w:rsid w:val="00707CCC"/>
    <w:rsid w:val="00734114"/>
    <w:rsid w:val="0074435E"/>
    <w:rsid w:val="00745CAF"/>
    <w:rsid w:val="00746DF8"/>
    <w:rsid w:val="00775143"/>
    <w:rsid w:val="00796F64"/>
    <w:rsid w:val="007A7AAC"/>
    <w:rsid w:val="007C40F8"/>
    <w:rsid w:val="007D5E2A"/>
    <w:rsid w:val="007D7528"/>
    <w:rsid w:val="007E172E"/>
    <w:rsid w:val="007E2C7D"/>
    <w:rsid w:val="00800F6C"/>
    <w:rsid w:val="00821529"/>
    <w:rsid w:val="00837F55"/>
    <w:rsid w:val="00844F17"/>
    <w:rsid w:val="008533D3"/>
    <w:rsid w:val="00857EA1"/>
    <w:rsid w:val="008616A6"/>
    <w:rsid w:val="00877203"/>
    <w:rsid w:val="008A7755"/>
    <w:rsid w:val="008B647E"/>
    <w:rsid w:val="008C162D"/>
    <w:rsid w:val="008C65FF"/>
    <w:rsid w:val="008D2774"/>
    <w:rsid w:val="008E1FAC"/>
    <w:rsid w:val="008E2B46"/>
    <w:rsid w:val="008E4A58"/>
    <w:rsid w:val="008F24D3"/>
    <w:rsid w:val="008F3503"/>
    <w:rsid w:val="008F7072"/>
    <w:rsid w:val="00907B11"/>
    <w:rsid w:val="009167D1"/>
    <w:rsid w:val="00925DEC"/>
    <w:rsid w:val="00932D14"/>
    <w:rsid w:val="00940007"/>
    <w:rsid w:val="009417D5"/>
    <w:rsid w:val="00965146"/>
    <w:rsid w:val="00970B97"/>
    <w:rsid w:val="009936C8"/>
    <w:rsid w:val="009A0D6F"/>
    <w:rsid w:val="009A195E"/>
    <w:rsid w:val="009A2F94"/>
    <w:rsid w:val="009C1A46"/>
    <w:rsid w:val="009D1BB9"/>
    <w:rsid w:val="009D56A9"/>
    <w:rsid w:val="009E01D3"/>
    <w:rsid w:val="009E7C6A"/>
    <w:rsid w:val="009F5D1A"/>
    <w:rsid w:val="00A12B41"/>
    <w:rsid w:val="00A17351"/>
    <w:rsid w:val="00A22BE6"/>
    <w:rsid w:val="00A308B5"/>
    <w:rsid w:val="00A34746"/>
    <w:rsid w:val="00A442CD"/>
    <w:rsid w:val="00A726D1"/>
    <w:rsid w:val="00A93DFF"/>
    <w:rsid w:val="00AB2ADB"/>
    <w:rsid w:val="00AC2F66"/>
    <w:rsid w:val="00AC6D60"/>
    <w:rsid w:val="00AD66B1"/>
    <w:rsid w:val="00AE3CAD"/>
    <w:rsid w:val="00AE74EF"/>
    <w:rsid w:val="00B11BAF"/>
    <w:rsid w:val="00B20D66"/>
    <w:rsid w:val="00B21EA0"/>
    <w:rsid w:val="00B32A65"/>
    <w:rsid w:val="00B33C5B"/>
    <w:rsid w:val="00B344F0"/>
    <w:rsid w:val="00B36C47"/>
    <w:rsid w:val="00B4473B"/>
    <w:rsid w:val="00B6032D"/>
    <w:rsid w:val="00B61773"/>
    <w:rsid w:val="00B6323C"/>
    <w:rsid w:val="00BA0924"/>
    <w:rsid w:val="00BA1886"/>
    <w:rsid w:val="00BC42F3"/>
    <w:rsid w:val="00BD4E84"/>
    <w:rsid w:val="00BF59A8"/>
    <w:rsid w:val="00C002B9"/>
    <w:rsid w:val="00C01FF9"/>
    <w:rsid w:val="00C11140"/>
    <w:rsid w:val="00C24284"/>
    <w:rsid w:val="00C47E9E"/>
    <w:rsid w:val="00C56AAE"/>
    <w:rsid w:val="00C652F0"/>
    <w:rsid w:val="00C6635A"/>
    <w:rsid w:val="00C6704C"/>
    <w:rsid w:val="00C84571"/>
    <w:rsid w:val="00C91BE3"/>
    <w:rsid w:val="00CA0416"/>
    <w:rsid w:val="00CA2745"/>
    <w:rsid w:val="00CA2A4B"/>
    <w:rsid w:val="00CB4708"/>
    <w:rsid w:val="00CB51BE"/>
    <w:rsid w:val="00CD43F6"/>
    <w:rsid w:val="00CE6E2C"/>
    <w:rsid w:val="00CF4F79"/>
    <w:rsid w:val="00D01517"/>
    <w:rsid w:val="00D2378B"/>
    <w:rsid w:val="00D43236"/>
    <w:rsid w:val="00D44CBF"/>
    <w:rsid w:val="00D44DEA"/>
    <w:rsid w:val="00D45BFE"/>
    <w:rsid w:val="00D57D50"/>
    <w:rsid w:val="00D917AD"/>
    <w:rsid w:val="00DA145C"/>
    <w:rsid w:val="00DB098C"/>
    <w:rsid w:val="00DC6DF8"/>
    <w:rsid w:val="00DD4011"/>
    <w:rsid w:val="00DE594B"/>
    <w:rsid w:val="00DF4DC2"/>
    <w:rsid w:val="00E14099"/>
    <w:rsid w:val="00E341F1"/>
    <w:rsid w:val="00E42E6F"/>
    <w:rsid w:val="00E45C78"/>
    <w:rsid w:val="00E51DEB"/>
    <w:rsid w:val="00E570C5"/>
    <w:rsid w:val="00E675C9"/>
    <w:rsid w:val="00E72CFD"/>
    <w:rsid w:val="00E75B0F"/>
    <w:rsid w:val="00E76341"/>
    <w:rsid w:val="00E77F62"/>
    <w:rsid w:val="00E81F99"/>
    <w:rsid w:val="00E82828"/>
    <w:rsid w:val="00EA11EA"/>
    <w:rsid w:val="00EB0B57"/>
    <w:rsid w:val="00EB2AD2"/>
    <w:rsid w:val="00EB2DBB"/>
    <w:rsid w:val="00EC4C91"/>
    <w:rsid w:val="00EE65F8"/>
    <w:rsid w:val="00EF34C7"/>
    <w:rsid w:val="00F03DD8"/>
    <w:rsid w:val="00F14962"/>
    <w:rsid w:val="00F25624"/>
    <w:rsid w:val="00F315FA"/>
    <w:rsid w:val="00F32B8E"/>
    <w:rsid w:val="00F71298"/>
    <w:rsid w:val="00F81B9E"/>
    <w:rsid w:val="00F86B6F"/>
    <w:rsid w:val="00F87787"/>
    <w:rsid w:val="00FA0F91"/>
    <w:rsid w:val="00FA2E9B"/>
    <w:rsid w:val="00FD26C9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0A3AD"/>
  <w15:docId w15:val="{16407306-CB8B-438D-8247-E9EE26F41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D15"/>
  </w:style>
  <w:style w:type="paragraph" w:styleId="Footer">
    <w:name w:val="footer"/>
    <w:basedOn w:val="Normal"/>
    <w:link w:val="Foot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D15"/>
  </w:style>
  <w:style w:type="paragraph" w:styleId="BalloonText">
    <w:name w:val="Balloon Text"/>
    <w:basedOn w:val="Normal"/>
    <w:link w:val="BalloonTextChar"/>
    <w:uiPriority w:val="99"/>
    <w:semiHidden/>
    <w:unhideWhenUsed/>
    <w:rsid w:val="0047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FA684-CBEB-49FE-8ABA-CB2586C8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 VALERIO</cp:lastModifiedBy>
  <cp:revision>2</cp:revision>
  <cp:lastPrinted>2024-02-15T09:51:00Z</cp:lastPrinted>
  <dcterms:created xsi:type="dcterms:W3CDTF">2025-03-03T22:07:00Z</dcterms:created>
  <dcterms:modified xsi:type="dcterms:W3CDTF">2025-03-03T22:07:00Z</dcterms:modified>
</cp:coreProperties>
</file>